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A24D" w14:textId="010E6201" w:rsidR="009862EA" w:rsidRPr="00B67FB9" w:rsidRDefault="004B2593" w:rsidP="000B187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862EA" w:rsidRPr="00B67FB9">
        <w:rPr>
          <w:rFonts w:ascii="Times New Roman" w:hAnsi="Times New Roman" w:cs="Times New Roman"/>
        </w:rPr>
        <w:t>Na temelju članka 1</w:t>
      </w:r>
      <w:r w:rsidR="00B67FB9" w:rsidRPr="00B67FB9">
        <w:rPr>
          <w:rFonts w:ascii="Times New Roman" w:hAnsi="Times New Roman" w:cs="Times New Roman"/>
        </w:rPr>
        <w:t>8</w:t>
      </w:r>
      <w:r w:rsidR="009862EA" w:rsidRPr="00B67FB9">
        <w:rPr>
          <w:rFonts w:ascii="Times New Roman" w:hAnsi="Times New Roman" w:cs="Times New Roman"/>
        </w:rPr>
        <w:t>. stavka 1. Zakona o proračunu („Narodne novine“, broj</w:t>
      </w:r>
      <w:r w:rsidR="00781EC8">
        <w:rPr>
          <w:rFonts w:ascii="Times New Roman" w:hAnsi="Times New Roman" w:cs="Times New Roman"/>
        </w:rPr>
        <w:t xml:space="preserve"> </w:t>
      </w:r>
      <w:r w:rsidR="00B67FB9" w:rsidRPr="00B67FB9">
        <w:rPr>
          <w:rFonts w:ascii="Times New Roman" w:hAnsi="Times New Roman" w:cs="Times New Roman"/>
        </w:rPr>
        <w:t>14</w:t>
      </w:r>
      <w:r w:rsidR="00DC4E0D">
        <w:rPr>
          <w:rFonts w:ascii="Times New Roman" w:hAnsi="Times New Roman" w:cs="Times New Roman"/>
        </w:rPr>
        <w:t>4</w:t>
      </w:r>
      <w:r w:rsidR="00B67FB9" w:rsidRPr="00B67FB9">
        <w:rPr>
          <w:rFonts w:ascii="Times New Roman" w:hAnsi="Times New Roman" w:cs="Times New Roman"/>
        </w:rPr>
        <w:t>/21</w:t>
      </w:r>
      <w:r w:rsidR="009862EA" w:rsidRPr="00B67FB9">
        <w:rPr>
          <w:rFonts w:ascii="Times New Roman" w:hAnsi="Times New Roman" w:cs="Times New Roman"/>
        </w:rPr>
        <w:t>) i članka 2</w:t>
      </w:r>
      <w:r w:rsidR="00B92A85" w:rsidRPr="00B67FB9">
        <w:rPr>
          <w:rFonts w:ascii="Times New Roman" w:hAnsi="Times New Roman" w:cs="Times New Roman"/>
        </w:rPr>
        <w:t>9</w:t>
      </w:r>
      <w:r w:rsidR="009862EA" w:rsidRPr="00B67FB9">
        <w:rPr>
          <w:rFonts w:ascii="Times New Roman" w:hAnsi="Times New Roman" w:cs="Times New Roman"/>
        </w:rPr>
        <w:t xml:space="preserve">. točke 5. Statuta Grada Vodica („Službeni glasnik Grada Vodica“, broj </w:t>
      </w:r>
      <w:r w:rsidR="00DC4E0D">
        <w:rPr>
          <w:rFonts w:ascii="Times New Roman" w:hAnsi="Times New Roman" w:cs="Times New Roman"/>
        </w:rPr>
        <w:t>12</w:t>
      </w:r>
      <w:r w:rsidR="009862EA" w:rsidRPr="00B67FB9">
        <w:rPr>
          <w:rFonts w:ascii="Times New Roman" w:hAnsi="Times New Roman" w:cs="Times New Roman"/>
        </w:rPr>
        <w:t>/</w:t>
      </w:r>
      <w:r w:rsidR="00B92A85" w:rsidRPr="00B67FB9">
        <w:rPr>
          <w:rFonts w:ascii="Times New Roman" w:hAnsi="Times New Roman" w:cs="Times New Roman"/>
        </w:rPr>
        <w:t>2</w:t>
      </w:r>
      <w:r w:rsidR="00DC4E0D">
        <w:rPr>
          <w:rFonts w:ascii="Times New Roman" w:hAnsi="Times New Roman" w:cs="Times New Roman"/>
        </w:rPr>
        <w:t>2</w:t>
      </w:r>
      <w:r w:rsidR="00B92A85" w:rsidRPr="00B67FB9">
        <w:rPr>
          <w:rFonts w:ascii="Times New Roman" w:hAnsi="Times New Roman" w:cs="Times New Roman"/>
        </w:rPr>
        <w:t xml:space="preserve">) </w:t>
      </w:r>
      <w:r w:rsidR="009862EA" w:rsidRPr="00B67FB9">
        <w:rPr>
          <w:rFonts w:ascii="Times New Roman" w:hAnsi="Times New Roman" w:cs="Times New Roman"/>
        </w:rPr>
        <w:t>Gradsko vijeće Grada Vodica na</w:t>
      </w:r>
      <w:r w:rsidR="00BA05E4">
        <w:rPr>
          <w:rFonts w:ascii="Times New Roman" w:hAnsi="Times New Roman" w:cs="Times New Roman"/>
        </w:rPr>
        <w:t xml:space="preserve"> 15</w:t>
      </w:r>
      <w:r w:rsidR="000B1870" w:rsidRPr="00B67FB9">
        <w:rPr>
          <w:rFonts w:ascii="Times New Roman" w:hAnsi="Times New Roman" w:cs="Times New Roman"/>
        </w:rPr>
        <w:t xml:space="preserve">. </w:t>
      </w:r>
      <w:r w:rsidR="009862EA" w:rsidRPr="00B67FB9">
        <w:rPr>
          <w:rFonts w:ascii="Times New Roman" w:hAnsi="Times New Roman" w:cs="Times New Roman"/>
        </w:rPr>
        <w:t>sjednici, dana</w:t>
      </w:r>
      <w:r w:rsidR="00B67FB9" w:rsidRPr="00B67FB9">
        <w:rPr>
          <w:rFonts w:ascii="Times New Roman" w:hAnsi="Times New Roman" w:cs="Times New Roman"/>
        </w:rPr>
        <w:t xml:space="preserve"> </w:t>
      </w:r>
      <w:r w:rsidR="00BA05E4">
        <w:rPr>
          <w:rFonts w:ascii="Times New Roman" w:hAnsi="Times New Roman" w:cs="Times New Roman"/>
        </w:rPr>
        <w:t>19</w:t>
      </w:r>
      <w:r w:rsidR="000B1870" w:rsidRPr="00B67FB9">
        <w:rPr>
          <w:rFonts w:ascii="Times New Roman" w:hAnsi="Times New Roman" w:cs="Times New Roman"/>
        </w:rPr>
        <w:t>. prosinca</w:t>
      </w:r>
      <w:r w:rsidR="00B92A85" w:rsidRPr="00B67FB9">
        <w:rPr>
          <w:rFonts w:ascii="Times New Roman" w:hAnsi="Times New Roman" w:cs="Times New Roman"/>
        </w:rPr>
        <w:t xml:space="preserve"> 202</w:t>
      </w:r>
      <w:r w:rsidR="00DC4E0D">
        <w:rPr>
          <w:rFonts w:ascii="Times New Roman" w:hAnsi="Times New Roman" w:cs="Times New Roman"/>
        </w:rPr>
        <w:t>3</w:t>
      </w:r>
      <w:r w:rsidR="009862EA" w:rsidRPr="00B67FB9">
        <w:rPr>
          <w:rFonts w:ascii="Times New Roman" w:hAnsi="Times New Roman" w:cs="Times New Roman"/>
        </w:rPr>
        <w:t>. godine donosi</w:t>
      </w:r>
    </w:p>
    <w:p w14:paraId="05CA37D2" w14:textId="77777777" w:rsidR="009862EA" w:rsidRPr="00B67FB9" w:rsidRDefault="009862EA" w:rsidP="009862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CC3095" w14:textId="77777777" w:rsidR="009862EA" w:rsidRPr="00B67FB9" w:rsidRDefault="009862EA" w:rsidP="009862E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708DEE" w14:textId="77777777" w:rsidR="009862EA" w:rsidRPr="00B67FB9" w:rsidRDefault="009862EA" w:rsidP="009862E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ODLUKU</w:t>
      </w:r>
    </w:p>
    <w:p w14:paraId="1E01E072" w14:textId="3DCEC77A" w:rsidR="009862EA" w:rsidRPr="00B67FB9" w:rsidRDefault="009862EA" w:rsidP="009862E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o izvršavanju Proračuna Grada Vodica za 202</w:t>
      </w:r>
      <w:r w:rsidR="00DC4E0D">
        <w:rPr>
          <w:rFonts w:ascii="Times New Roman" w:hAnsi="Times New Roman" w:cs="Times New Roman"/>
          <w:b/>
        </w:rPr>
        <w:t>4</w:t>
      </w:r>
      <w:r w:rsidRPr="00B67FB9">
        <w:rPr>
          <w:rFonts w:ascii="Times New Roman" w:hAnsi="Times New Roman" w:cs="Times New Roman"/>
          <w:b/>
        </w:rPr>
        <w:t>. godinu</w:t>
      </w:r>
    </w:p>
    <w:p w14:paraId="490C27FE" w14:textId="77777777" w:rsidR="009862EA" w:rsidRPr="00B67FB9" w:rsidRDefault="009862EA" w:rsidP="009862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267060D" w14:textId="77777777" w:rsidR="009862EA" w:rsidRPr="00B67FB9" w:rsidRDefault="009862EA" w:rsidP="009862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I. OPĆE ODREDBE</w:t>
      </w:r>
    </w:p>
    <w:p w14:paraId="75600533" w14:textId="77777777" w:rsidR="009862EA" w:rsidRPr="00B67FB9" w:rsidRDefault="009862EA" w:rsidP="009862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FB465B1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1.</w:t>
      </w:r>
    </w:p>
    <w:p w14:paraId="46AE345B" w14:textId="26F7E08C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Ovom se Odlukom uređuje struktura prihoda i primitaka, rashoda i izdataka Proračuna Grada Vodica za 202</w:t>
      </w:r>
      <w:r w:rsidR="00D030CC">
        <w:rPr>
          <w:rFonts w:ascii="Times New Roman" w:hAnsi="Times New Roman" w:cs="Times New Roman"/>
        </w:rPr>
        <w:t>4</w:t>
      </w:r>
      <w:r w:rsidRPr="00B67FB9">
        <w:rPr>
          <w:rFonts w:ascii="Times New Roman" w:hAnsi="Times New Roman" w:cs="Times New Roman"/>
        </w:rPr>
        <w:t>. godinu (u daljnjem tekstu:</w:t>
      </w:r>
      <w:r w:rsidR="00B67FB9">
        <w:rPr>
          <w:rFonts w:ascii="Times New Roman" w:hAnsi="Times New Roman" w:cs="Times New Roman"/>
        </w:rPr>
        <w:t xml:space="preserve"> </w:t>
      </w:r>
      <w:r w:rsidRPr="00B67FB9">
        <w:rPr>
          <w:rFonts w:ascii="Times New Roman" w:hAnsi="Times New Roman" w:cs="Times New Roman"/>
        </w:rPr>
        <w:t>Proračun), njegovo izvršavanje, opseg zaduživanja, suglasnosti i jamstva Grada Vodica (u daljnjem tekstu: Grada), upravljanje dugom te financijskom i nefinancijskom imovinom Grada, prava i obveze korisnika proračunskih sredstava, ovlasti Gradonačelnika u izvršavanju Proračuna, te druga pitanja o izvršavanju Proračuna.</w:t>
      </w:r>
    </w:p>
    <w:p w14:paraId="241B670B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4CDE9F" w14:textId="77777777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2.</w:t>
      </w:r>
    </w:p>
    <w:p w14:paraId="02055A80" w14:textId="48C64E5B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Proračun se sastoji od Općeg i Posebnog dijela</w:t>
      </w:r>
      <w:r w:rsidR="00B67FB9" w:rsidRPr="00B67FB9">
        <w:rPr>
          <w:rFonts w:ascii="Times New Roman" w:hAnsi="Times New Roman" w:cs="Times New Roman"/>
        </w:rPr>
        <w:t xml:space="preserve"> i obrazloženja proračuna</w:t>
      </w:r>
      <w:r w:rsidR="00C55583">
        <w:rPr>
          <w:rFonts w:ascii="Times New Roman" w:hAnsi="Times New Roman" w:cs="Times New Roman"/>
        </w:rPr>
        <w:t>.</w:t>
      </w:r>
    </w:p>
    <w:p w14:paraId="226D80B9" w14:textId="1472D973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Opći dio Proračuna se sastoji od Računa prihoda i rashoda i Računa financiranja.</w:t>
      </w:r>
    </w:p>
    <w:p w14:paraId="5DEFF0BB" w14:textId="50C2CCE4" w:rsidR="009862EA" w:rsidRPr="00B67FB9" w:rsidRDefault="009862EA" w:rsidP="009862E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U Računu prihoda i rashoda iskazani su prihodi poslovanja i prihodi od prodaje nefinancijske imovine, te rashodi poslovanja i rashodi za nabavu nefinancijske imovine. U Računu financiranja iskazani su svi primici od financijske imovine i zaduživanja, te izdaci za financijsku imovinu i otplatu zajmova.</w:t>
      </w:r>
    </w:p>
    <w:p w14:paraId="58F3174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Posebni dio Proračuna se sastoji od plana rashoda i izdataka proračunskih korisnika iskazanih po vrstama, a raspoređenih u programe koji se sastoje od aktivnosti i projekata. </w:t>
      </w:r>
    </w:p>
    <w:p w14:paraId="00D063AC" w14:textId="35FCEDFF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ab/>
        <w:t>U Plan Proračuna Grada za 202</w:t>
      </w:r>
      <w:r w:rsidR="00561299">
        <w:rPr>
          <w:rFonts w:ascii="Times New Roman" w:hAnsi="Times New Roman" w:cs="Times New Roman"/>
        </w:rPr>
        <w:t>4</w:t>
      </w:r>
      <w:r w:rsidRPr="00B67FB9">
        <w:rPr>
          <w:rFonts w:ascii="Times New Roman" w:hAnsi="Times New Roman" w:cs="Times New Roman"/>
        </w:rPr>
        <w:t xml:space="preserve">. godinu uključeni su svi prihodi i primici, rashodi i izdatci proračunskih korisnika – Ustanova, sukladno svim proračunskim klasifikacijama. </w:t>
      </w:r>
    </w:p>
    <w:p w14:paraId="558C7A6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Sredstva se u Proračunu osiguravaju proračunskim korisnicima (u daljnjem tekstu: korisnici) koji su u njegovom posebnom dijelu određeni za nositelje sredstava raspoređenih po programima (aktivnostima i projektima) i po vrstama rashoda i izdataka. Proračunski korisnici Grada Vodica evidentirani su u Registru proračunskih i izvanproračunskih korisnika, te se njima također osiguravaju sredstva u proračunu unutar nositelja posebnog dijela Proračuna.</w:t>
      </w:r>
    </w:p>
    <w:p w14:paraId="09408EC0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CB105B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Nositelji posebnog dijela Proračuna:</w:t>
      </w:r>
    </w:p>
    <w:p w14:paraId="7E34E62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FE9518" w14:textId="3C39F7C2" w:rsidR="008F3B30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 xml:space="preserve">Razdjel 001 – </w:t>
      </w:r>
      <w:r w:rsidR="008F3B30" w:rsidRPr="008F3B30">
        <w:rPr>
          <w:rFonts w:ascii="Times New Roman" w:hAnsi="Times New Roman" w:cs="Times New Roman"/>
          <w:b/>
        </w:rPr>
        <w:t>Predstavničko i izvršno tijelo</w:t>
      </w:r>
    </w:p>
    <w:p w14:paraId="4E6ECB4C" w14:textId="54E17939" w:rsidR="009862EA" w:rsidRPr="008F3B30" w:rsidRDefault="008F3B30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 xml:space="preserve">Razdjel 002 - </w:t>
      </w:r>
      <w:r w:rsidR="004B61DB">
        <w:rPr>
          <w:rFonts w:ascii="Times New Roman" w:hAnsi="Times New Roman" w:cs="Times New Roman"/>
          <w:b/>
        </w:rPr>
        <w:t xml:space="preserve"> </w:t>
      </w:r>
      <w:r w:rsidR="00B67FB9" w:rsidRPr="008F3B30">
        <w:rPr>
          <w:rFonts w:ascii="Times New Roman" w:hAnsi="Times New Roman" w:cs="Times New Roman"/>
          <w:b/>
        </w:rPr>
        <w:t>Upravni odjel za društvene djelatnosti, opće i kadrovske poslove</w:t>
      </w:r>
    </w:p>
    <w:p w14:paraId="0B7A0E23" w14:textId="4B3D16FC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>Razdjel 00</w:t>
      </w:r>
      <w:r w:rsidR="008F3B30" w:rsidRPr="008F3B30">
        <w:rPr>
          <w:rFonts w:ascii="Times New Roman" w:hAnsi="Times New Roman" w:cs="Times New Roman"/>
          <w:b/>
        </w:rPr>
        <w:t xml:space="preserve">3 </w:t>
      </w:r>
      <w:r w:rsidRPr="008F3B30">
        <w:rPr>
          <w:rFonts w:ascii="Times New Roman" w:hAnsi="Times New Roman" w:cs="Times New Roman"/>
          <w:b/>
        </w:rPr>
        <w:t>– Upravni odjel za financije i javne prihode</w:t>
      </w:r>
    </w:p>
    <w:p w14:paraId="647CFAED" w14:textId="14E75A51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>Razdjel 00</w:t>
      </w:r>
      <w:r w:rsidR="008F3B30" w:rsidRPr="008F3B30">
        <w:rPr>
          <w:rFonts w:ascii="Times New Roman" w:hAnsi="Times New Roman" w:cs="Times New Roman"/>
          <w:b/>
        </w:rPr>
        <w:t>4</w:t>
      </w:r>
      <w:r w:rsidRPr="008F3B30">
        <w:rPr>
          <w:rFonts w:ascii="Times New Roman" w:hAnsi="Times New Roman" w:cs="Times New Roman"/>
          <w:b/>
        </w:rPr>
        <w:t xml:space="preserve"> – Upravni odjel za gospodarstvo, imovinu i prostorno planiranje</w:t>
      </w:r>
    </w:p>
    <w:p w14:paraId="29B3485D" w14:textId="01ABF09A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3B30">
        <w:rPr>
          <w:rFonts w:ascii="Times New Roman" w:hAnsi="Times New Roman" w:cs="Times New Roman"/>
          <w:b/>
        </w:rPr>
        <w:t>Razdjel 00</w:t>
      </w:r>
      <w:r w:rsidR="008F3B30" w:rsidRPr="008F3B30">
        <w:rPr>
          <w:rFonts w:ascii="Times New Roman" w:hAnsi="Times New Roman" w:cs="Times New Roman"/>
          <w:b/>
        </w:rPr>
        <w:t>5</w:t>
      </w:r>
      <w:r w:rsidRPr="008F3B30">
        <w:rPr>
          <w:rFonts w:ascii="Times New Roman" w:hAnsi="Times New Roman" w:cs="Times New Roman"/>
          <w:b/>
        </w:rPr>
        <w:t xml:space="preserve"> – Upravni odjel za komunalno-vodni sustav, zaštitu okoliša i graditeljstvo</w:t>
      </w:r>
    </w:p>
    <w:p w14:paraId="5DEBF1B3" w14:textId="77777777" w:rsidR="009862EA" w:rsidRPr="008F3B30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A438A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1A1ECD6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II. IZVRŠAVANJE PRORAČUNA</w:t>
      </w:r>
    </w:p>
    <w:p w14:paraId="2ABA43E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CCC9B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3.</w:t>
      </w:r>
    </w:p>
    <w:p w14:paraId="39626909" w14:textId="77777777" w:rsidR="009862EA" w:rsidRPr="00B67FB9" w:rsidRDefault="009862EA" w:rsidP="009862E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Korisnici smiju proračunska sredstva koristiti samo za namjene koje su određene Proračunom i to do visine utvrđene u njegovom Posebnom dijelu.</w:t>
      </w:r>
    </w:p>
    <w:p w14:paraId="0F64610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>Sredstva Proračuna osiguravaju se proračunskim korisnicima koji su u Posebnom dijelu Proračuna određeni kao nositelji kroz razdjele i glave. Proračunskim sredstvima korisnici se smiju koristiti samo do visine planiranih sredstava po načelu dobrog financijskog upravljanja, odnosno načelima ekonomičnosti i djelotvornosti.</w:t>
      </w:r>
    </w:p>
    <w:p w14:paraId="18EB0C75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Ako se u tijeku izvršavanja Proračuna utvrdi da su proračunska sredstva korištena nenamjenski privremeno će se obustaviti isplata iz proračuna na onim stavkama s kojih sredstva nisu trošena namjenski. </w:t>
      </w:r>
    </w:p>
    <w:p w14:paraId="0C499FD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7FB9">
        <w:rPr>
          <w:rFonts w:ascii="Times New Roman" w:hAnsi="Times New Roman" w:cs="Times New Roman"/>
        </w:rPr>
        <w:lastRenderedPageBreak/>
        <w:t xml:space="preserve">          Odluku o umanjivanju i obustavi sredstava donosi Gradonačelnik</w:t>
      </w:r>
      <w:r w:rsidRPr="00B67FB9">
        <w:rPr>
          <w:rFonts w:ascii="Times New Roman" w:hAnsi="Times New Roman" w:cs="Times New Roman"/>
          <w:color w:val="FF0000"/>
        </w:rPr>
        <w:t>.</w:t>
      </w:r>
    </w:p>
    <w:p w14:paraId="7F861C4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F79E7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4.</w:t>
      </w:r>
    </w:p>
    <w:p w14:paraId="748730F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Upravni odjel za financije i javne prihode je obvezan u roku od osam dana od stupanja na snagu Proračuna izvijestiti sva tijela gradske uprave o odobrenim sredstvima, a tijela gradske uprave obvezna su u daljnjem roku od osam dana izvijestiti o istom krajnje korisnike koji se financiraju iz Proračuna i za čije poslovanje su iskazana sredstva u Posebnom dijelu Proračuna.</w:t>
      </w:r>
    </w:p>
    <w:p w14:paraId="016D751B" w14:textId="6FBBC95D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Proračunski korisnici – ustanove, za koje su sredstva planirana u Proračunu i to u Posebnom dijelu obvezni su dostaviti nadležnim tijelima gradske uprave svoje financijske planove usuglašene s odobrenim sredstvima u Proračunu u roku od 15 dana od stupanja na snagu Proračuna za 202</w:t>
      </w:r>
      <w:r w:rsidR="00A408F1">
        <w:rPr>
          <w:rFonts w:ascii="Times New Roman" w:hAnsi="Times New Roman" w:cs="Times New Roman"/>
        </w:rPr>
        <w:t>4</w:t>
      </w:r>
      <w:r w:rsidRPr="00B67FB9">
        <w:rPr>
          <w:rFonts w:ascii="Times New Roman" w:hAnsi="Times New Roman" w:cs="Times New Roman"/>
        </w:rPr>
        <w:t>. godinu.</w:t>
      </w:r>
    </w:p>
    <w:p w14:paraId="5F32417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Tijela gradske uprave obvezna su u roku od osam dana dostaviti Gradonačelniku prijedlog zajedničkog financijskog plana svih korisnika Proračuna za koja su nadležni.</w:t>
      </w:r>
    </w:p>
    <w:p w14:paraId="26070020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Na temelju usvojenih financijskih planova Upravni odjel za financije i javne prihode izrađuje mjesečne planove za izvršavanje Proračuna na temelju kojih planira likvidnost Proračuna, a sve u skladu s novčanim tijekom Proračuna.</w:t>
      </w:r>
    </w:p>
    <w:p w14:paraId="759C94E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309547D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5.</w:t>
      </w:r>
    </w:p>
    <w:p w14:paraId="67FAE88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Ukoliko se prihodi Proračuna ne ostvaruju planiranom dinamikom, prednost u izvršavanju obveza imat će sredstva za redovnu djelatnost upravnih tijela Grada.</w:t>
      </w:r>
    </w:p>
    <w:p w14:paraId="1FB811F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Tijela gradske uprave odgovorna su za prikupljanje proračunskih sredstava i za potpunu i pravodobnu naplatu prihoda na računu Proračuna u skladu s pozitivnim propisima.</w:t>
      </w:r>
    </w:p>
    <w:p w14:paraId="7396C33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Pravne osobe – proračunski korisnici odgovorne su za naplatu prihoda i primitaka u okviru svoje nadležnosti.</w:t>
      </w:r>
    </w:p>
    <w:p w14:paraId="79CB160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19D63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6.</w:t>
      </w:r>
    </w:p>
    <w:p w14:paraId="1D3D33E3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Proračun se izvršava preko jedinstvenog transakcijskog računa proračuna za sve Upravne odjele.</w:t>
      </w:r>
    </w:p>
    <w:p w14:paraId="4FFC4ED3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Rashodi i izdaci se temelje na vjerodostojnoj knjigovodstvenoj ispravi koju ovjerava odgovorna ili ovlaštena osoba nadležnog Upravnog odjela uz naznaku razdjela, programa, aktivnosti i oznake ekonomske klasifikacije.</w:t>
      </w:r>
    </w:p>
    <w:p w14:paraId="1D68D9C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</w:t>
      </w:r>
      <w:r w:rsidRPr="00B67FB9">
        <w:rPr>
          <w:rFonts w:ascii="Times New Roman" w:hAnsi="Times New Roman" w:cs="Times New Roman"/>
        </w:rPr>
        <w:t>Proračunski korisnici mogu preuzeti obveze na teret Proračuna Grada samo za namjene i do visine svog financijskog plana, a obveze po Ugovorima koj</w:t>
      </w:r>
      <w:r w:rsidR="00A606CD" w:rsidRPr="00B67FB9">
        <w:rPr>
          <w:rFonts w:ascii="Times New Roman" w:hAnsi="Times New Roman" w:cs="Times New Roman"/>
        </w:rPr>
        <w:t>e</w:t>
      </w:r>
      <w:r w:rsidRPr="00B67FB9">
        <w:rPr>
          <w:rFonts w:ascii="Times New Roman" w:hAnsi="Times New Roman" w:cs="Times New Roman"/>
        </w:rPr>
        <w:t xml:space="preserve"> zahtijevaju plaćanja u slijedećim godinama iz Proračuna Grada samo uz suglasnost </w:t>
      </w:r>
      <w:r w:rsidR="00A606CD" w:rsidRPr="00B67FB9">
        <w:rPr>
          <w:rFonts w:ascii="Times New Roman" w:hAnsi="Times New Roman" w:cs="Times New Roman"/>
        </w:rPr>
        <w:t>Gradskog vijeća</w:t>
      </w:r>
      <w:r w:rsidRPr="00B67FB9">
        <w:rPr>
          <w:rFonts w:ascii="Times New Roman" w:hAnsi="Times New Roman" w:cs="Times New Roman"/>
        </w:rPr>
        <w:t xml:space="preserve">, a na prijedlog </w:t>
      </w:r>
      <w:r w:rsidR="00A606CD" w:rsidRPr="00B67FB9">
        <w:rPr>
          <w:rFonts w:ascii="Times New Roman" w:hAnsi="Times New Roman" w:cs="Times New Roman"/>
        </w:rPr>
        <w:t>Gradonačelnika</w:t>
      </w:r>
      <w:r w:rsidRPr="00B67FB9">
        <w:rPr>
          <w:rFonts w:ascii="Times New Roman" w:hAnsi="Times New Roman" w:cs="Times New Roman"/>
        </w:rPr>
        <w:t>, te se uključuj</w:t>
      </w:r>
      <w:r w:rsidR="00A606CD" w:rsidRPr="00B67FB9">
        <w:rPr>
          <w:rFonts w:ascii="Times New Roman" w:hAnsi="Times New Roman" w:cs="Times New Roman"/>
        </w:rPr>
        <w:t>u</w:t>
      </w:r>
      <w:r w:rsidRPr="00B67FB9">
        <w:rPr>
          <w:rFonts w:ascii="Times New Roman" w:hAnsi="Times New Roman" w:cs="Times New Roman"/>
        </w:rPr>
        <w:t xml:space="preserve"> u opseg financijskog plana u godini u kojoj dospijeva</w:t>
      </w:r>
      <w:r w:rsidR="00A606CD" w:rsidRPr="00B67FB9">
        <w:rPr>
          <w:rFonts w:ascii="Times New Roman" w:hAnsi="Times New Roman" w:cs="Times New Roman"/>
        </w:rPr>
        <w:t>ju.</w:t>
      </w:r>
    </w:p>
    <w:p w14:paraId="5A7895E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F1C294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7.</w:t>
      </w:r>
    </w:p>
    <w:p w14:paraId="566902A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Gradonačelnik je odgovoran Gradskom vijeću za planiranje i izvršavanje Proračuna o čemu ga izvještava na način propisan zakonom.</w:t>
      </w:r>
    </w:p>
    <w:p w14:paraId="15989E4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 </w:t>
      </w:r>
      <w:r w:rsidRPr="00B67FB9">
        <w:rPr>
          <w:rFonts w:ascii="Times New Roman" w:hAnsi="Times New Roman" w:cs="Times New Roman"/>
        </w:rPr>
        <w:t>Nalogodavac i odgovorna osoba za zakonito i pravilno planiranje i izvršavanje Proračuna u cjelini je Gradonačelnik.</w:t>
      </w:r>
    </w:p>
    <w:p w14:paraId="1AFD1E8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Upravni odjel za financije i javne prihode izvršava Proračun i o tome izvještava Gradonačelnika. Pročelnici Upravnih odjela, te čelnici pravnih osoba koje su korisnici Proračuna, odgovorni su za planiranje i izvršavanje svog dijela Proračuna, te za zakonito, namjensko i svrhovito korištenje proračunskih sredstava utvrđenih financijskim planom potrebnim za realizaciju ciljeva, tj. aktivnosti i projekata za koje su nadležni.</w:t>
      </w:r>
    </w:p>
    <w:p w14:paraId="7B88E9D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</w:t>
      </w:r>
      <w:r w:rsidRPr="00B67FB9">
        <w:rPr>
          <w:rFonts w:ascii="Times New Roman" w:hAnsi="Times New Roman" w:cs="Times New Roman"/>
        </w:rPr>
        <w:t>Odgovornost za izvršavanje Proračuna u smislu odredbe stavka 3. ovog članka podrazumijeva odgovornost za preuzimanje i verifikaciju obveza, izdavanje naloga za plaćanje na teret proračunskih sredstava, te za dostavu izvješća o utrošenim sredstvima s pripadajućom dokumentacijom.</w:t>
      </w:r>
    </w:p>
    <w:p w14:paraId="4E80FF2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5C87D3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7873D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8.</w:t>
      </w:r>
    </w:p>
    <w:p w14:paraId="2301805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Prihodi proračuna ubiru se i uplaćuju u Proračun u skladu s pozitivnim propisima neovisno o visini prihoda planiranih u Proračunu.</w:t>
      </w:r>
    </w:p>
    <w:p w14:paraId="0BA52CAD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Proračunski korisnici – ustanove ( Dječji vrtić Tamaris, Javna vatrogasna postrojba, Gradska knjižnica, Pučko otvoreno učilište i Memorijalni centar Faust Vrančić ) su izuzeti od obveze uplate </w:t>
      </w:r>
      <w:r w:rsidRPr="00B67FB9">
        <w:rPr>
          <w:rFonts w:ascii="Times New Roman" w:hAnsi="Times New Roman" w:cs="Times New Roman"/>
        </w:rPr>
        <w:lastRenderedPageBreak/>
        <w:t>ostvarenih vlastitih prihoda i namjenskih prihoda i primitaka u Proračun jer nisu stvoreni informacijski preduvjeti za praćenje prihoda svojih korisnika i izvršenje rashoda iz tih izvora.</w:t>
      </w:r>
    </w:p>
    <w:p w14:paraId="5AAF9C9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 Prihodi iz stavka 2. ovog članka planiraju se u financijskim planovima proračunskih korisnika i uplaćuju na njihov račun, a mogu se koristiti isključivo za namjene utvrđene financijskim planovima. Proračunski korisnici mogu preuzimati i plaćati ih po stavkama rashoda za čije su financiranje planirani prihodi iz stavka 2. ovog članka isključivo do iznosa ostvarenih prihoda.</w:t>
      </w:r>
    </w:p>
    <w:p w14:paraId="1E186D4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</w:rPr>
        <w:t xml:space="preserve">          Proračunski korisnici – ustanove tijekom godine su obvezni o ostvarenju i trošenju prihoda iz stavka 2. ovog članka izvještavati Upravno tijelo nadležno za financije i javne prihode, jer će podaci o njihovom ostvarenju i trošenju biti uključeni u polugodišnji  i godišnji izvještaj o izvršenju Proračuna Grada Vodica.</w:t>
      </w:r>
    </w:p>
    <w:p w14:paraId="2A26389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7FB9">
        <w:rPr>
          <w:rFonts w:ascii="Times New Roman" w:hAnsi="Times New Roman" w:cs="Times New Roman"/>
          <w:color w:val="FF0000"/>
        </w:rPr>
        <w:tab/>
      </w:r>
    </w:p>
    <w:p w14:paraId="1756620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FB9">
        <w:rPr>
          <w:rFonts w:ascii="Times New Roman" w:hAnsi="Times New Roman" w:cs="Times New Roman"/>
          <w:b/>
        </w:rPr>
        <w:t>Članak 9.</w:t>
      </w:r>
    </w:p>
    <w:p w14:paraId="67FBB0E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b/>
        </w:rPr>
        <w:tab/>
      </w:r>
      <w:r w:rsidRPr="00B67FB9">
        <w:rPr>
          <w:rFonts w:ascii="Times New Roman" w:hAnsi="Times New Roman" w:cs="Times New Roman"/>
        </w:rPr>
        <w:t>Tijekom godine moguće su nepredviđene okolnosti koje mogu dovesti do neplaniranih ostvarenja prihoda i primitaka te rashoda i izdataka proračunskih korisnika – ustanova.</w:t>
      </w:r>
    </w:p>
    <w:p w14:paraId="3DBFAD7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Upravljačka tijela ustanova ne mogu donositi izmjene i/ili dopune svojih financijskih planova vezanih uz financiranje iz izvora općih prihoda bez prethodne suglasnosti Grada, odnosno bez donošenja izmjena i/ili dopuna proračuna Grada.</w:t>
      </w:r>
    </w:p>
    <w:p w14:paraId="7D6EBCF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Upravljačka tijela ustanova mogu donositi prijedloge izmjena i/ili dopuna svojih financijskih planova vezanih uz financiranje iz vlastitih izvora i dostavljati ih Upravnom tijelu nadležnom za financije i javne prihode.</w:t>
      </w:r>
    </w:p>
    <w:p w14:paraId="1C5450E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U slučaju opravdanosti prijedloga, nadležno tijelo za financije i javne prihode predložiti će gradonačelniku da proračunskim korisnicima – ustanovama daje pisane suglasnosti kojima će se njihovi prijedlozi izmjena i/ ili dopuna financijskih planova usvojiti ili odbiti.</w:t>
      </w:r>
    </w:p>
    <w:p w14:paraId="69B0B3D0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ab/>
      </w:r>
      <w:r w:rsidRPr="00B67FB9">
        <w:rPr>
          <w:rFonts w:ascii="Times New Roman" w:hAnsi="Times New Roman" w:cs="Times New Roman"/>
        </w:rPr>
        <w:t>Odobrene izmjene i/ili dopune financijskih planova ustanova će tijekom godine biti usklađene sa izmjenama i/ili dopunama ili preraspodjelama proračuna Grada.</w:t>
      </w:r>
    </w:p>
    <w:p w14:paraId="3AEF231B" w14:textId="77777777" w:rsidR="009862EA" w:rsidRPr="00B67FB9" w:rsidRDefault="009862EA" w:rsidP="009862E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32295E8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0F6">
        <w:rPr>
          <w:rFonts w:ascii="Times New Roman" w:hAnsi="Times New Roman" w:cs="Times New Roman"/>
          <w:b/>
        </w:rPr>
        <w:t>Članak 10.</w:t>
      </w:r>
    </w:p>
    <w:p w14:paraId="60DDA99D" w14:textId="158F001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>Preuzimanje obveza kod nabave roba i usluga, te ustupanje radova, provodit će se u skladu sa Zakonom o javnoj nabavi („Narodne novine“, broj 120/16</w:t>
      </w:r>
      <w:r w:rsidR="005300F6" w:rsidRPr="005300F6">
        <w:rPr>
          <w:rFonts w:ascii="Times New Roman" w:hAnsi="Times New Roman" w:cs="Times New Roman"/>
        </w:rPr>
        <w:t xml:space="preserve"> i 114/22</w:t>
      </w:r>
      <w:r w:rsidRPr="005300F6">
        <w:rPr>
          <w:rFonts w:ascii="Times New Roman" w:hAnsi="Times New Roman" w:cs="Times New Roman"/>
        </w:rPr>
        <w:t>).</w:t>
      </w:r>
    </w:p>
    <w:p w14:paraId="32C0DF0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C39DF99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0F6">
        <w:rPr>
          <w:rFonts w:ascii="Times New Roman" w:hAnsi="Times New Roman" w:cs="Times New Roman"/>
          <w:b/>
        </w:rPr>
        <w:t>Članak 11.</w:t>
      </w:r>
    </w:p>
    <w:p w14:paraId="4343BD4F" w14:textId="673018CD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Zahtjev za isplatu sredstava za nabavu roba, usluga i ustupanja radova koji se temelji na propisima Zakona o javnoj nabavi moraju biti usklađeni s Planom nabave za 202</w:t>
      </w:r>
      <w:r w:rsidR="002E4502">
        <w:rPr>
          <w:rFonts w:ascii="Times New Roman" w:hAnsi="Times New Roman" w:cs="Times New Roman"/>
        </w:rPr>
        <w:t>4</w:t>
      </w:r>
      <w:r w:rsidRPr="005300F6">
        <w:rPr>
          <w:rFonts w:ascii="Times New Roman" w:hAnsi="Times New Roman" w:cs="Times New Roman"/>
        </w:rPr>
        <w:t>. godinu. Potpisani Ugovor o javnoj nabavi mora biti u skladu s uvjetima određenim u dokumentaciji za nadmetanje i odabranom ponudom, a jedan primjerak Ugovora na temelju kojeg se ispostavlja faktura/obračunska situacija mora biti dostavljen Upravnom odjelu za financije i javne prihode.</w:t>
      </w:r>
    </w:p>
    <w:p w14:paraId="18C2598A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2F1D4CD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0F6">
        <w:rPr>
          <w:rFonts w:ascii="Times New Roman" w:hAnsi="Times New Roman" w:cs="Times New Roman"/>
          <w:b/>
        </w:rPr>
        <w:t>Članak 12.</w:t>
      </w:r>
    </w:p>
    <w:p w14:paraId="427DBC3A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 Prava i obveze iz rada i po osnovi rada dužnosnika, službenika i namještenika utvrđivat će se u skladu s odlukama Gradskog vijeća, Gradonačelnika, zakonskim propisima i općim aktima.</w:t>
      </w:r>
    </w:p>
    <w:p w14:paraId="6CAACB5E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Materijalna prava i naknade troškova zaposlenih, naknade za korištenje godišnjeg odmora, otpremnine za odlazak u mirovinu, slučaj smrti obitelji, naknade za duža bolovanja, putne troškove i ostala prava, isplaćivat će se u skladu s propisima i planiranim sredstvima u Proračunu.</w:t>
      </w:r>
    </w:p>
    <w:p w14:paraId="6F48CE3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1C9BA7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0F6">
        <w:rPr>
          <w:rFonts w:ascii="Times New Roman" w:hAnsi="Times New Roman" w:cs="Times New Roman"/>
          <w:b/>
        </w:rPr>
        <w:t>Članak 13.</w:t>
      </w:r>
    </w:p>
    <w:p w14:paraId="7F8C36FF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Pogrešno ili više uplaćeni prihodi u Proračun, vraćaju se uplatiteljima na teret tih prihoda. Pogrešno ili više uplaćeni prihodi u proračune prethodnih godina vraćaju se uplatiteljima na teret rashoda Proračuna. Rješenje o povratu sredstava donosi nadležno tijelo gradske uprave na temelju dokumentiranog zahtjeva stranke.</w:t>
      </w:r>
    </w:p>
    <w:p w14:paraId="4126D2F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978312A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0F6">
        <w:rPr>
          <w:rFonts w:ascii="Times New Roman" w:hAnsi="Times New Roman" w:cs="Times New Roman"/>
          <w:b/>
        </w:rPr>
        <w:t>Članak 14.</w:t>
      </w:r>
    </w:p>
    <w:p w14:paraId="6302CD28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>Instrumente osiguranja plaćanja, kojima se na teret Proračuna stvaraju obveze, izdaje Upravni odjel za financije i javne prihode, a potpisuje Gradonačelnik.</w:t>
      </w:r>
    </w:p>
    <w:p w14:paraId="7D855A82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 </w:t>
      </w:r>
      <w:r w:rsidRPr="005300F6">
        <w:rPr>
          <w:rFonts w:ascii="Times New Roman" w:hAnsi="Times New Roman" w:cs="Times New Roman"/>
        </w:rPr>
        <w:t>Instrumenti osiguranja plaćanja primljeni od pravnih osoba kao sredstvo osiguranja naplate potraživanja ili izvođenja radova i usluga dostavljaju se Upravnom odjelu za financije i javne prihode.</w:t>
      </w:r>
    </w:p>
    <w:p w14:paraId="09054346" w14:textId="7314953A" w:rsidR="009862EA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lastRenderedPageBreak/>
        <w:t xml:space="preserve">          Evidenciju izdanih i primljenih instrumenata osiguranja plaćanja vodi Upravni odjel za financije i javne prihode.</w:t>
      </w:r>
    </w:p>
    <w:p w14:paraId="73D531B9" w14:textId="77777777" w:rsidR="004B61DB" w:rsidRPr="005300F6" w:rsidRDefault="004B61DB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F27939" w14:textId="77777777" w:rsidR="009862EA" w:rsidRPr="00A308F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8FE">
        <w:rPr>
          <w:rFonts w:ascii="Times New Roman" w:hAnsi="Times New Roman" w:cs="Times New Roman"/>
          <w:b/>
        </w:rPr>
        <w:t>III. PRORAČUNSKA ZALIHA</w:t>
      </w:r>
    </w:p>
    <w:p w14:paraId="56213A4D" w14:textId="77777777" w:rsidR="009862EA" w:rsidRPr="00A308F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C67776" w14:textId="77777777" w:rsidR="009862EA" w:rsidRPr="00A308FE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8FE">
        <w:rPr>
          <w:rFonts w:ascii="Times New Roman" w:hAnsi="Times New Roman" w:cs="Times New Roman"/>
          <w:b/>
        </w:rPr>
        <w:t>Članak 15.</w:t>
      </w:r>
    </w:p>
    <w:p w14:paraId="7FE1BB63" w14:textId="77777777" w:rsidR="009862EA" w:rsidRPr="005E3C5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00F6">
        <w:rPr>
          <w:rFonts w:ascii="Times New Roman" w:hAnsi="Times New Roman" w:cs="Times New Roman"/>
        </w:rPr>
        <w:t xml:space="preserve">           Neraspoređeni dio Proračuna čine sredstva proračunske zalihe koja se koriste za financiranje neplaniranih rashoda ili za namjene za koje se tijekom godine pokaže da nisu utvrđena dostatna sredstva jer ih </w:t>
      </w:r>
      <w:r w:rsidRPr="005E3C56">
        <w:rPr>
          <w:rFonts w:ascii="Times New Roman" w:hAnsi="Times New Roman" w:cs="Times New Roman"/>
        </w:rPr>
        <w:t>pri planiranju Proračuna nije bilo moguće predvidjeti, te za druge nepredviđene rashode.</w:t>
      </w:r>
    </w:p>
    <w:p w14:paraId="11DEB6C9" w14:textId="65AA281B" w:rsidR="009862EA" w:rsidRPr="005E3C5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3C56">
        <w:rPr>
          <w:rFonts w:ascii="Times New Roman" w:hAnsi="Times New Roman" w:cs="Times New Roman"/>
        </w:rPr>
        <w:t xml:space="preserve">          Visina proračunske zalihe u Proračunu za 202</w:t>
      </w:r>
      <w:r w:rsidR="00D030CC" w:rsidRPr="005E3C56">
        <w:rPr>
          <w:rFonts w:ascii="Times New Roman" w:hAnsi="Times New Roman" w:cs="Times New Roman"/>
        </w:rPr>
        <w:t>4</w:t>
      </w:r>
      <w:r w:rsidRPr="005E3C56">
        <w:rPr>
          <w:rFonts w:ascii="Times New Roman" w:hAnsi="Times New Roman" w:cs="Times New Roman"/>
        </w:rPr>
        <w:t xml:space="preserve">.g. iznosi </w:t>
      </w:r>
      <w:r w:rsidR="005E3C56" w:rsidRPr="005E3C56">
        <w:rPr>
          <w:rFonts w:ascii="Times New Roman" w:hAnsi="Times New Roman" w:cs="Times New Roman"/>
        </w:rPr>
        <w:t>5</w:t>
      </w:r>
      <w:r w:rsidR="005300F6" w:rsidRPr="005E3C56">
        <w:rPr>
          <w:rFonts w:ascii="Times New Roman" w:hAnsi="Times New Roman" w:cs="Times New Roman"/>
        </w:rPr>
        <w:t>0.000,00 €</w:t>
      </w:r>
      <w:r w:rsidRPr="005E3C56">
        <w:rPr>
          <w:rFonts w:ascii="Times New Roman" w:hAnsi="Times New Roman" w:cs="Times New Roman"/>
        </w:rPr>
        <w:t>.</w:t>
      </w:r>
    </w:p>
    <w:p w14:paraId="2816ED33" w14:textId="0CC54A48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E3C56">
        <w:rPr>
          <w:rFonts w:ascii="Times New Roman" w:hAnsi="Times New Roman" w:cs="Times New Roman"/>
        </w:rPr>
        <w:t xml:space="preserve">           Gradonačelnik izvješćuje Gradsko vijeće </w:t>
      </w:r>
      <w:r w:rsidR="005300F6" w:rsidRPr="005E3C56">
        <w:rPr>
          <w:rFonts w:ascii="Times New Roman" w:hAnsi="Times New Roman" w:cs="Times New Roman"/>
        </w:rPr>
        <w:t>tro</w:t>
      </w:r>
      <w:r w:rsidRPr="005E3C56">
        <w:rPr>
          <w:rFonts w:ascii="Times New Roman" w:hAnsi="Times New Roman" w:cs="Times New Roman"/>
        </w:rPr>
        <w:t xml:space="preserve">mjesečno o korištenju sredstava </w:t>
      </w:r>
      <w:r w:rsidRPr="005300F6">
        <w:rPr>
          <w:rFonts w:ascii="Times New Roman" w:hAnsi="Times New Roman" w:cs="Times New Roman"/>
        </w:rPr>
        <w:t>proračunske zalihe.</w:t>
      </w:r>
    </w:p>
    <w:p w14:paraId="12968F81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0BF067" w14:textId="77777777" w:rsidR="009862EA" w:rsidRPr="005300F6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125D29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IV. POVRATI SREDSTAVA U PRORAČUN</w:t>
      </w:r>
    </w:p>
    <w:p w14:paraId="298CBB26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F45EB3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16.</w:t>
      </w:r>
    </w:p>
    <w:p w14:paraId="37E1ADDA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>Ako se naknadno utvrdi da je isplata iz Proračuna bila nezakonita proračunski korisnik mora odmah zahtijevati povrat proračunskih sredstava u Proračun.</w:t>
      </w:r>
    </w:p>
    <w:p w14:paraId="67D76035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92AD3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320B05C5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17.</w:t>
      </w:r>
    </w:p>
    <w:p w14:paraId="6BE92FA7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 </w:t>
      </w:r>
      <w:r w:rsidRPr="00715ADD">
        <w:rPr>
          <w:rFonts w:ascii="Times New Roman" w:hAnsi="Times New Roman" w:cs="Times New Roman"/>
        </w:rPr>
        <w:t>Proračunski korisnik – primatelj donacije koji nije iskoristio donaciju na način i pod uvjetima što ih je utvrdio donator, mora u financijskom planu osigurati prihode za donaciju čiji povrat zahtjeva donator. Za navedena sredstva proračunskom korisniku će se umanjiti proračunska sredstva u godini u kojoj mora vratiti primljenu donaciju.</w:t>
      </w:r>
    </w:p>
    <w:p w14:paraId="6BD618BE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8033A0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494BAE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V. PLAĆANJE PREDUJMA</w:t>
      </w:r>
    </w:p>
    <w:p w14:paraId="4AE921C9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C1F21C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18.</w:t>
      </w:r>
    </w:p>
    <w:p w14:paraId="6772110F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Plaćanje predujma se može ugovoriti samo u iznimnim slučajevima na temelju prethodne suglasnosti Gradonačelnika.</w:t>
      </w:r>
    </w:p>
    <w:p w14:paraId="1E05541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D773EC2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2AF7ADB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VI. UPRAVLJANJE FINANCIJSKOM IMOVINOM</w:t>
      </w:r>
    </w:p>
    <w:p w14:paraId="5109105B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C54301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19.</w:t>
      </w:r>
    </w:p>
    <w:p w14:paraId="21A8764D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</w:rPr>
        <w:t>Raspoloživim novčanim sredstvima na računu Proračuna upravlja Gradonačelnik.</w:t>
      </w:r>
    </w:p>
    <w:p w14:paraId="56CF21E4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Raspoloživa novčana sredstava Proračuna se mogu oročavati kod poslovnih banaka, s tim da su sredstva oročena po uobičajenim tržišnim uvjetima, te da oročavanje ne ometa redovito izvršavanje proračunskih izdataka, odnosno poštujući načela sigurnosti, likvidnosti i isplativosti ulaganja.</w:t>
      </w:r>
    </w:p>
    <w:p w14:paraId="63541153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Odluku o oročavanju donosi Gradonačelnik.</w:t>
      </w:r>
    </w:p>
    <w:p w14:paraId="2B2993C4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Prihodi od upravljanja raspoloživim novčanim sredstvima prihod su Proračuna.</w:t>
      </w:r>
    </w:p>
    <w:p w14:paraId="75168E48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5D5651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C734BF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E3707F5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VII. UPRAVLJANJE NEFINANCIJSKOM IMOVINOM</w:t>
      </w:r>
    </w:p>
    <w:p w14:paraId="00391870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6B34FD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20.</w:t>
      </w:r>
    </w:p>
    <w:p w14:paraId="10DC9F83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Gradonačelnik odlučuje o stjecanju i otuđivanju nekretnina i pokretnina i raspolaganju ostalom imovinom čija pojedinačna vrijednost ne prelazi 0,5% iznosa prihoda bez primitaka ostvarenih u godini koja prethodi godini u kojoj se odlučuje o stjecanju i otuđivanju, odnosno raspolaganju ostalom imovinom. Stjecanje i otuđivanje, te raspolaganje ostalom imovinom mora biti planirano u Proračunu Grada i provedeno u skladu sa zakonom.</w:t>
      </w:r>
    </w:p>
    <w:p w14:paraId="7AE01F08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Upravljanje imovinom podrazumijeva njezino korištenje, održavanje i davanje u zakup.</w:t>
      </w:r>
    </w:p>
    <w:p w14:paraId="031369D3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lastRenderedPageBreak/>
        <w:t xml:space="preserve">          Sredstva za održavanje i osiguranje dugotrajne nefinancijske imovine osiguravaju se u rashodima poslovanja nadležnih tijela gradske uprave.</w:t>
      </w:r>
    </w:p>
    <w:p w14:paraId="1ACF7721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19FEAA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21.</w:t>
      </w:r>
    </w:p>
    <w:p w14:paraId="144B89CA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Knjigovodstvena evidencija nefinancijske dugotrajne imovine Grada vodi se u Upravnom odjelu za financije i javne prihode.</w:t>
      </w:r>
    </w:p>
    <w:p w14:paraId="30F1CF8B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O svakoj poslovnoj promjeni na imovini kojom upravlja, Gradonačelnik je dužan dostaviti podatke Upravnom odjelu za financije i javne prihode.</w:t>
      </w:r>
    </w:p>
    <w:p w14:paraId="47B3D413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DBA8CE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22.</w:t>
      </w:r>
    </w:p>
    <w:p w14:paraId="7DE7C0BF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Odgoda plaćanja, obročna otplata duga, te prodaja, otpis ili djelomičan otpis potraživanja Grada Vodica provodi se prema kriterijima, mjerilima i postupcima sukladno zakonskim propisima.</w:t>
      </w:r>
    </w:p>
    <w:p w14:paraId="3EDA5E64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A63F7A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821570D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VIII. ZADUŽIVANJE I DAVANJE JAMSTVA</w:t>
      </w:r>
    </w:p>
    <w:p w14:paraId="42157832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B0F446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5ADD">
        <w:rPr>
          <w:rFonts w:ascii="Times New Roman" w:hAnsi="Times New Roman" w:cs="Times New Roman"/>
          <w:b/>
        </w:rPr>
        <w:t>Članak 23.</w:t>
      </w:r>
    </w:p>
    <w:p w14:paraId="3B9800AA" w14:textId="77777777" w:rsidR="009862EA" w:rsidRPr="00715AD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ADD">
        <w:rPr>
          <w:rFonts w:ascii="Times New Roman" w:hAnsi="Times New Roman" w:cs="Times New Roman"/>
        </w:rPr>
        <w:t xml:space="preserve">           Grad se može zadužiti dugoročno samo za investiciju koja se financira iz Proračuna, a koju potvrdi Gradsko vijeće uz prethodnu suglasnost Vlade RH, a na prijedlog Ministra financija.</w:t>
      </w:r>
    </w:p>
    <w:p w14:paraId="515E4E6D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9F38F2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C89A8B" w14:textId="77777777" w:rsidR="009862EA" w:rsidRPr="00781EC8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EC8">
        <w:rPr>
          <w:rFonts w:ascii="Times New Roman" w:hAnsi="Times New Roman" w:cs="Times New Roman"/>
          <w:b/>
        </w:rPr>
        <w:t>Članak 24.</w:t>
      </w:r>
    </w:p>
    <w:p w14:paraId="4DDDC799" w14:textId="77777777" w:rsidR="009862EA" w:rsidRPr="00781EC8" w:rsidRDefault="009862EA" w:rsidP="00781E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 </w:t>
      </w:r>
      <w:r w:rsidRPr="00781EC8">
        <w:rPr>
          <w:rFonts w:ascii="Times New Roman" w:hAnsi="Times New Roman" w:cs="Times New Roman"/>
        </w:rPr>
        <w:t>Ukupna godišnja obveza zaduženja Proračuna Grada može iznositi najviše do 20% ostvarenih prihoda u godini koja prethodi godini u kojoj se zadužuje, umanjenih za prihode i primitke od domaćih i inozemnih pomoći, donacija, sufinanciranja građana, dodatnog udjela u porezu na dohodak i pomoći izravnanja za financiranje decentraliziranih funkcija.</w:t>
      </w:r>
    </w:p>
    <w:p w14:paraId="13FF4FD8" w14:textId="1998A560" w:rsidR="00781EC8" w:rsidRPr="00781EC8" w:rsidRDefault="009862EA" w:rsidP="00781EC8">
      <w:pPr>
        <w:shd w:val="clear" w:color="auto" w:fill="FFFFFF"/>
        <w:spacing w:beforeLines="30" w:before="72" w:afterLines="30" w:after="72" w:line="240" w:lineRule="auto"/>
        <w:jc w:val="both"/>
        <w:textAlignment w:val="baseline"/>
        <w:rPr>
          <w:rFonts w:ascii="Times New Roman" w:eastAsia="Times New Roman" w:hAnsi="Times New Roman"/>
          <w:color w:val="231F20"/>
        </w:rPr>
      </w:pPr>
      <w:r w:rsidRPr="00781EC8">
        <w:rPr>
          <w:rFonts w:ascii="Times New Roman" w:hAnsi="Times New Roman" w:cs="Times New Roman"/>
          <w:color w:val="FF0000"/>
        </w:rPr>
        <w:t xml:space="preserve"> </w:t>
      </w:r>
      <w:r w:rsidR="00781EC8" w:rsidRPr="00781EC8">
        <w:rPr>
          <w:rFonts w:ascii="Times New Roman" w:eastAsia="Times New Roman" w:hAnsi="Times New Roman"/>
          <w:color w:val="231F20"/>
        </w:rPr>
        <w:t>U iznos ukupne godišnje obveze zaduženja uključen je iznos prosječnoga godišnjeg anuiteta po kreditima, zajmovima, obvezama na osnovi izdanih vrijednosnih papira, danih jamstava i suglasnosti iz članka 127. stavka 1. Zakona o proračunu („Narodne novine“ broj 144/21)  te dospjele obveze iskazane u zadnjem raspoloživom financijskom izvještaju.</w:t>
      </w:r>
    </w:p>
    <w:p w14:paraId="1E848CFA" w14:textId="44A6C71E" w:rsidR="009862EA" w:rsidRPr="00781EC8" w:rsidRDefault="009862EA" w:rsidP="00781E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 xml:space="preserve">          Tekuća otplata glavnice gradskog duga, te pripadajuća kamata imaju u izvršavanju Proračuna prednost pred svim ostalim izdacima.</w:t>
      </w:r>
    </w:p>
    <w:p w14:paraId="5E21216B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0BF477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DAE56F7" w14:textId="77777777" w:rsidR="009862EA" w:rsidRPr="00781EC8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EC8">
        <w:rPr>
          <w:rFonts w:ascii="Times New Roman" w:hAnsi="Times New Roman" w:cs="Times New Roman"/>
          <w:b/>
        </w:rPr>
        <w:t>Članak 25.</w:t>
      </w:r>
    </w:p>
    <w:p w14:paraId="644B247C" w14:textId="7A38D4EC" w:rsidR="002F7A12" w:rsidRPr="00A87A4D" w:rsidRDefault="002F7A12" w:rsidP="00501DD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FB9">
        <w:rPr>
          <w:rFonts w:ascii="Times New Roman" w:hAnsi="Times New Roman" w:cs="Times New Roman"/>
          <w:bCs/>
          <w:color w:val="FF0000"/>
        </w:rPr>
        <w:tab/>
      </w:r>
      <w:r w:rsidR="009862EA" w:rsidRPr="00781EC8">
        <w:rPr>
          <w:rFonts w:ascii="Times New Roman" w:hAnsi="Times New Roman" w:cs="Times New Roman"/>
          <w:bCs/>
        </w:rPr>
        <w:t xml:space="preserve">Stanje obveza po dugoročnom zajmu za izgradnju </w:t>
      </w:r>
      <w:r w:rsidRPr="00781EC8">
        <w:rPr>
          <w:rFonts w:ascii="Times New Roman" w:hAnsi="Times New Roman" w:cs="Times New Roman"/>
          <w:bCs/>
        </w:rPr>
        <w:t>novog d</w:t>
      </w:r>
      <w:r w:rsidR="009862EA" w:rsidRPr="00781EC8">
        <w:rPr>
          <w:rFonts w:ascii="Times New Roman" w:hAnsi="Times New Roman" w:cs="Times New Roman"/>
          <w:bCs/>
        </w:rPr>
        <w:t xml:space="preserve">ječjeg vrtića u </w:t>
      </w:r>
      <w:r w:rsidRPr="00781EC8">
        <w:rPr>
          <w:rFonts w:ascii="Times New Roman" w:hAnsi="Times New Roman" w:cs="Times New Roman"/>
          <w:bCs/>
        </w:rPr>
        <w:t>Vodicama</w:t>
      </w:r>
      <w:r w:rsidR="009862EA" w:rsidRPr="00781EC8">
        <w:rPr>
          <w:rFonts w:ascii="Times New Roman" w:hAnsi="Times New Roman" w:cs="Times New Roman"/>
          <w:bCs/>
        </w:rPr>
        <w:t xml:space="preserve"> na dan </w:t>
      </w:r>
      <w:r w:rsidR="009862EA" w:rsidRPr="00A87A4D">
        <w:rPr>
          <w:rFonts w:ascii="Times New Roman" w:hAnsi="Times New Roman" w:cs="Times New Roman"/>
          <w:bCs/>
        </w:rPr>
        <w:t>1.1.202</w:t>
      </w:r>
      <w:r w:rsidR="00A87A4D" w:rsidRPr="00A87A4D">
        <w:rPr>
          <w:rFonts w:ascii="Times New Roman" w:hAnsi="Times New Roman" w:cs="Times New Roman"/>
          <w:bCs/>
        </w:rPr>
        <w:t>4</w:t>
      </w:r>
      <w:r w:rsidR="009862EA" w:rsidRPr="00A87A4D">
        <w:rPr>
          <w:rFonts w:ascii="Times New Roman" w:hAnsi="Times New Roman" w:cs="Times New Roman"/>
          <w:bCs/>
        </w:rPr>
        <w:t>. godin</w:t>
      </w:r>
      <w:r w:rsidR="00E45E38" w:rsidRPr="00A87A4D">
        <w:rPr>
          <w:rFonts w:ascii="Times New Roman" w:hAnsi="Times New Roman" w:cs="Times New Roman"/>
          <w:bCs/>
        </w:rPr>
        <w:t xml:space="preserve">e </w:t>
      </w:r>
      <w:r w:rsidR="009862EA" w:rsidRPr="00A87A4D">
        <w:rPr>
          <w:rFonts w:ascii="Times New Roman" w:hAnsi="Times New Roman" w:cs="Times New Roman"/>
          <w:bCs/>
        </w:rPr>
        <w:t>iznosit će</w:t>
      </w:r>
      <w:r w:rsidR="00171CDD" w:rsidRPr="00A87A4D">
        <w:rPr>
          <w:rFonts w:ascii="Times New Roman" w:hAnsi="Times New Roman" w:cs="Times New Roman"/>
          <w:bCs/>
        </w:rPr>
        <w:t xml:space="preserve"> </w:t>
      </w:r>
      <w:r w:rsidR="00A87A4D" w:rsidRPr="00A87A4D">
        <w:rPr>
          <w:rFonts w:ascii="Times New Roman" w:hAnsi="Times New Roman" w:cs="Times New Roman"/>
          <w:bCs/>
        </w:rPr>
        <w:t xml:space="preserve">1.924.480,74 </w:t>
      </w:r>
      <w:r w:rsidR="00781EC8" w:rsidRPr="00A87A4D">
        <w:rPr>
          <w:rFonts w:ascii="Times New Roman" w:hAnsi="Times New Roman" w:cs="Times New Roman"/>
          <w:bCs/>
        </w:rPr>
        <w:t>€</w:t>
      </w:r>
      <w:r w:rsidR="009862EA" w:rsidRPr="00A87A4D">
        <w:rPr>
          <w:rFonts w:ascii="Times New Roman" w:hAnsi="Times New Roman" w:cs="Times New Roman"/>
          <w:bCs/>
        </w:rPr>
        <w:t xml:space="preserve">. </w:t>
      </w:r>
    </w:p>
    <w:p w14:paraId="55E8CD09" w14:textId="428D5E4F" w:rsidR="009862EA" w:rsidRPr="009641B9" w:rsidRDefault="002F7A12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FB9">
        <w:rPr>
          <w:rFonts w:ascii="Times New Roman" w:hAnsi="Times New Roman" w:cs="Times New Roman"/>
          <w:bCs/>
          <w:color w:val="FF0000"/>
        </w:rPr>
        <w:tab/>
      </w:r>
      <w:r w:rsidR="00501DDC" w:rsidRPr="00781EC8">
        <w:rPr>
          <w:rFonts w:ascii="Times New Roman" w:hAnsi="Times New Roman" w:cs="Times New Roman"/>
          <w:bCs/>
        </w:rPr>
        <w:t xml:space="preserve">Stanje obveza po kratkoročnom zajmu, dobivenom iz Državnog proračuna, a sve uslijed </w:t>
      </w:r>
      <w:r w:rsidR="00501DDC" w:rsidRPr="009641B9">
        <w:rPr>
          <w:rFonts w:ascii="Times New Roman" w:hAnsi="Times New Roman" w:cs="Times New Roman"/>
          <w:bCs/>
        </w:rPr>
        <w:t xml:space="preserve">pandemije </w:t>
      </w:r>
      <w:proofErr w:type="spellStart"/>
      <w:r w:rsidR="00501DDC" w:rsidRPr="009641B9">
        <w:rPr>
          <w:rFonts w:ascii="Times New Roman" w:hAnsi="Times New Roman" w:cs="Times New Roman"/>
          <w:bCs/>
        </w:rPr>
        <w:t>Covid</w:t>
      </w:r>
      <w:proofErr w:type="spellEnd"/>
      <w:r w:rsidR="00501DDC" w:rsidRPr="009641B9">
        <w:rPr>
          <w:rFonts w:ascii="Times New Roman" w:hAnsi="Times New Roman" w:cs="Times New Roman"/>
          <w:bCs/>
        </w:rPr>
        <w:t>-a 19 i pada gradskih prihoda, na dan 01.01.202</w:t>
      </w:r>
      <w:r w:rsidR="00A87A4D" w:rsidRPr="009641B9">
        <w:rPr>
          <w:rFonts w:ascii="Times New Roman" w:hAnsi="Times New Roman" w:cs="Times New Roman"/>
          <w:bCs/>
        </w:rPr>
        <w:t>4</w:t>
      </w:r>
      <w:r w:rsidR="00501DDC" w:rsidRPr="009641B9">
        <w:rPr>
          <w:rFonts w:ascii="Times New Roman" w:hAnsi="Times New Roman" w:cs="Times New Roman"/>
          <w:bCs/>
        </w:rPr>
        <w:t xml:space="preserve">. godine iznosit će </w:t>
      </w:r>
      <w:r w:rsidR="00781EC8" w:rsidRPr="009641B9">
        <w:rPr>
          <w:rFonts w:ascii="Times New Roman" w:hAnsi="Times New Roman" w:cs="Times New Roman"/>
          <w:bCs/>
        </w:rPr>
        <w:t>424.712,99 €</w:t>
      </w:r>
      <w:r w:rsidR="00501DDC" w:rsidRPr="009641B9">
        <w:rPr>
          <w:rFonts w:ascii="Times New Roman" w:hAnsi="Times New Roman" w:cs="Times New Roman"/>
          <w:bCs/>
        </w:rPr>
        <w:t>.</w:t>
      </w:r>
    </w:p>
    <w:p w14:paraId="593E9014" w14:textId="77777777" w:rsidR="00781EC8" w:rsidRPr="00781EC8" w:rsidRDefault="00781EC8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0EABE2" w14:textId="77777777" w:rsidR="009862EA" w:rsidRPr="00B67FB9" w:rsidRDefault="009862EA" w:rsidP="00D26C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0E4E03B" w14:textId="001B1895" w:rsidR="009862EA" w:rsidRPr="00781EC8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EC8">
        <w:rPr>
          <w:rFonts w:ascii="Times New Roman" w:hAnsi="Times New Roman" w:cs="Times New Roman"/>
          <w:b/>
        </w:rPr>
        <w:t>Članak 2</w:t>
      </w:r>
      <w:r w:rsidR="00781EC8" w:rsidRPr="00781EC8">
        <w:rPr>
          <w:rFonts w:ascii="Times New Roman" w:hAnsi="Times New Roman" w:cs="Times New Roman"/>
          <w:b/>
        </w:rPr>
        <w:t>6</w:t>
      </w:r>
      <w:r w:rsidRPr="00781EC8">
        <w:rPr>
          <w:rFonts w:ascii="Times New Roman" w:hAnsi="Times New Roman" w:cs="Times New Roman"/>
          <w:b/>
        </w:rPr>
        <w:t>.</w:t>
      </w:r>
    </w:p>
    <w:p w14:paraId="402B8F87" w14:textId="48D7A39E" w:rsidR="009862EA" w:rsidRPr="00781EC8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 xml:space="preserve">           Upravni odjel za financije i javne prihode je dužan o stanju po izdanim zaduženjima, jamstvima i suglasnostima izvijestiti Ministarstvo financija na obrascima i u rokovima kako je određeno Zakonom o proračunu („Narodne novine“ broj </w:t>
      </w:r>
      <w:r w:rsidR="00781EC8" w:rsidRPr="00781EC8">
        <w:rPr>
          <w:rFonts w:ascii="Times New Roman" w:hAnsi="Times New Roman" w:cs="Times New Roman"/>
        </w:rPr>
        <w:t>144/21</w:t>
      </w:r>
      <w:r w:rsidRPr="00781EC8">
        <w:rPr>
          <w:rFonts w:ascii="Times New Roman" w:hAnsi="Times New Roman" w:cs="Times New Roman"/>
        </w:rPr>
        <w:t>).</w:t>
      </w:r>
    </w:p>
    <w:p w14:paraId="622DF213" w14:textId="68714454" w:rsidR="009862EA" w:rsidRPr="00781EC8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81EC8">
        <w:rPr>
          <w:rFonts w:ascii="Times New Roman" w:hAnsi="Times New Roman" w:cs="Times New Roman"/>
        </w:rPr>
        <w:t xml:space="preserve">          Grad Vodice se može kratkoročno zadužiti najduže do 12 mjeseci za premošćivanje jaza nastalog zbog različite dinamike priljeva sredstava i dospijeća obveza, bez mogućnosti daljnjeg reprogramiranja ili zatvaranja postojećih obveza po kratkoročnim kreditima ili zajmovima uzimanjem </w:t>
      </w:r>
      <w:r w:rsidR="001F0128">
        <w:rPr>
          <w:rFonts w:ascii="Times New Roman" w:hAnsi="Times New Roman" w:cs="Times New Roman"/>
        </w:rPr>
        <w:t xml:space="preserve">novih </w:t>
      </w:r>
      <w:r w:rsidRPr="00781EC8">
        <w:rPr>
          <w:rFonts w:ascii="Times New Roman" w:hAnsi="Times New Roman" w:cs="Times New Roman"/>
        </w:rPr>
        <w:t xml:space="preserve">kratkoročnih </w:t>
      </w:r>
      <w:r w:rsidR="001F0128">
        <w:rPr>
          <w:rFonts w:ascii="Times New Roman" w:hAnsi="Times New Roman" w:cs="Times New Roman"/>
        </w:rPr>
        <w:t>kredita</w:t>
      </w:r>
      <w:r w:rsidRPr="00781EC8">
        <w:rPr>
          <w:rFonts w:ascii="Times New Roman" w:hAnsi="Times New Roman" w:cs="Times New Roman"/>
        </w:rPr>
        <w:t xml:space="preserve"> ili zajmova.</w:t>
      </w:r>
    </w:p>
    <w:p w14:paraId="17ACC069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95E3923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C2C803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5E92">
        <w:rPr>
          <w:rFonts w:ascii="Times New Roman" w:hAnsi="Times New Roman" w:cs="Times New Roman"/>
          <w:b/>
        </w:rPr>
        <w:t>IX. PRIMJENA PRORAČUNSKOG RAČUNOVODSTVA, FINANCIJSKO RAČUNOVODSTVENA KONTROLA I IZVJEŠTAVANJE</w:t>
      </w:r>
    </w:p>
    <w:p w14:paraId="617FDBD4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212B76" w14:textId="6165C0E0" w:rsidR="009862EA" w:rsidRPr="00C35E92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5E92">
        <w:rPr>
          <w:rFonts w:ascii="Times New Roman" w:hAnsi="Times New Roman" w:cs="Times New Roman"/>
          <w:b/>
        </w:rPr>
        <w:lastRenderedPageBreak/>
        <w:t>Članak 2</w:t>
      </w:r>
      <w:r w:rsidR="00C35E92" w:rsidRPr="00C35E92">
        <w:rPr>
          <w:rFonts w:ascii="Times New Roman" w:hAnsi="Times New Roman" w:cs="Times New Roman"/>
          <w:b/>
        </w:rPr>
        <w:t>7</w:t>
      </w:r>
      <w:r w:rsidRPr="00C35E92">
        <w:rPr>
          <w:rFonts w:ascii="Times New Roman" w:hAnsi="Times New Roman" w:cs="Times New Roman"/>
          <w:b/>
        </w:rPr>
        <w:t>.</w:t>
      </w:r>
    </w:p>
    <w:p w14:paraId="708D005E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ab/>
        <w:t xml:space="preserve"> Proračun i proračunski korisnici primjenjuju sustav proračunskog računovodstva.</w:t>
      </w:r>
    </w:p>
    <w:p w14:paraId="6C540052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 xml:space="preserve">           Kontrola poslovnih postupaka u pripremi i izvršavanju proračuna, upravljanje gradskim dugom i gotovinom, praćenje financijskih propisa, praćenje nastanka obveza, praćenje primjene sustava proračunskog računovodstva, te poslovi financijskog izvještavanja obavljat će se u Upravnom odjelu za financije i javne prihode.</w:t>
      </w:r>
    </w:p>
    <w:p w14:paraId="6D9D3E00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 xml:space="preserve">          Svi korisnici proračunskih sredstava obvezni su Upravnom odjelu za financije i javne prihode dati sve potrebne podatke, isprave i izvješća koja se od njih traže.</w:t>
      </w:r>
    </w:p>
    <w:p w14:paraId="44607BB6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76DCBE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EFF46E2" w14:textId="36BF8B6C" w:rsidR="009862EA" w:rsidRPr="00C35E92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5E92">
        <w:rPr>
          <w:rFonts w:ascii="Times New Roman" w:hAnsi="Times New Roman" w:cs="Times New Roman"/>
          <w:b/>
        </w:rPr>
        <w:t>Članak 2</w:t>
      </w:r>
      <w:r w:rsidR="00C35E92" w:rsidRPr="00C35E92">
        <w:rPr>
          <w:rFonts w:ascii="Times New Roman" w:hAnsi="Times New Roman" w:cs="Times New Roman"/>
          <w:b/>
        </w:rPr>
        <w:t>8</w:t>
      </w:r>
      <w:r w:rsidRPr="00C35E92">
        <w:rPr>
          <w:rFonts w:ascii="Times New Roman" w:hAnsi="Times New Roman" w:cs="Times New Roman"/>
          <w:b/>
        </w:rPr>
        <w:t>.</w:t>
      </w:r>
    </w:p>
    <w:p w14:paraId="424F081F" w14:textId="77777777" w:rsidR="009862EA" w:rsidRPr="00C35E92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35E92">
        <w:rPr>
          <w:rFonts w:ascii="Times New Roman" w:hAnsi="Times New Roman" w:cs="Times New Roman"/>
        </w:rPr>
        <w:t xml:space="preserve">          Upravni odjel za financije i javne prihode podnosi Gradonačelniku polugodišnji i godišnji izvještaj o izvršenju Proračuna. Polugodišnji i godišnji izvještaj o izvršenju Proračuna Gradonačelnik zatim dostavlja Gradskom vijeću  u rokovima propisanim Zakonom o proračunu.</w:t>
      </w:r>
    </w:p>
    <w:p w14:paraId="6CF753B1" w14:textId="51387330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35E92">
        <w:rPr>
          <w:rFonts w:ascii="Times New Roman" w:hAnsi="Times New Roman" w:cs="Times New Roman"/>
        </w:rPr>
        <w:t xml:space="preserve">          Proračunski korisnici – ustanove Grada su dužni dostaviti godišnji izvještaj o poslovanju (ostvarenje financijskog plana i izvještaj o radu) nadležnim tijelima gradske uprave, najkasnije u roku od mjesec dana od isteka roka za predaju godišnjih financijskih izvještaja utvrđenog Pravilnikom o financijskom izvještavanju u proračunskom </w:t>
      </w:r>
      <w:r w:rsidRPr="00343B9D">
        <w:rPr>
          <w:rFonts w:ascii="Times New Roman" w:hAnsi="Times New Roman" w:cs="Times New Roman"/>
        </w:rPr>
        <w:t>računovodstvu („Narodne novine“, broj 3</w:t>
      </w:r>
      <w:r w:rsidR="00343B9D" w:rsidRPr="00343B9D">
        <w:rPr>
          <w:rFonts w:ascii="Times New Roman" w:hAnsi="Times New Roman" w:cs="Times New Roman"/>
        </w:rPr>
        <w:t>7</w:t>
      </w:r>
      <w:r w:rsidRPr="00343B9D">
        <w:rPr>
          <w:rFonts w:ascii="Times New Roman" w:hAnsi="Times New Roman" w:cs="Times New Roman"/>
        </w:rPr>
        <w:t>/</w:t>
      </w:r>
      <w:r w:rsidR="00343B9D" w:rsidRPr="00343B9D">
        <w:rPr>
          <w:rFonts w:ascii="Times New Roman" w:hAnsi="Times New Roman" w:cs="Times New Roman"/>
        </w:rPr>
        <w:t>22</w:t>
      </w:r>
      <w:r w:rsidRPr="00343B9D">
        <w:rPr>
          <w:rFonts w:ascii="Times New Roman" w:hAnsi="Times New Roman" w:cs="Times New Roman"/>
        </w:rPr>
        <w:t xml:space="preserve">). </w:t>
      </w:r>
    </w:p>
    <w:p w14:paraId="6752A39C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85B90AE" w14:textId="7562C374" w:rsidR="009862EA" w:rsidRPr="00343B9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B9D">
        <w:rPr>
          <w:rFonts w:ascii="Times New Roman" w:hAnsi="Times New Roman" w:cs="Times New Roman"/>
          <w:b/>
        </w:rPr>
        <w:t xml:space="preserve">Članak </w:t>
      </w:r>
      <w:r w:rsidR="00C35E92" w:rsidRPr="00343B9D">
        <w:rPr>
          <w:rFonts w:ascii="Times New Roman" w:hAnsi="Times New Roman" w:cs="Times New Roman"/>
          <w:b/>
        </w:rPr>
        <w:t>29</w:t>
      </w:r>
      <w:r w:rsidRPr="00343B9D">
        <w:rPr>
          <w:rFonts w:ascii="Times New Roman" w:hAnsi="Times New Roman" w:cs="Times New Roman"/>
          <w:b/>
        </w:rPr>
        <w:t>.</w:t>
      </w:r>
    </w:p>
    <w:p w14:paraId="1BCA4A77" w14:textId="042A89B0" w:rsidR="00176F46" w:rsidRPr="00343B9D" w:rsidRDefault="009862EA" w:rsidP="00176F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3B9D">
        <w:rPr>
          <w:rFonts w:ascii="Times New Roman" w:hAnsi="Times New Roman" w:cs="Times New Roman"/>
        </w:rPr>
        <w:t xml:space="preserve">           Proračunski korisnici – ustanove Grada su dužni dostaviti polugodišnje  i godišnje financijske izvještaje Upravnom odjelu za financije i javne prihode</w:t>
      </w:r>
      <w:r w:rsidR="00176F46" w:rsidRPr="00343B9D">
        <w:rPr>
          <w:rFonts w:ascii="Times New Roman" w:hAnsi="Times New Roman" w:cs="Times New Roman"/>
        </w:rPr>
        <w:t>, a sve temeljem</w:t>
      </w:r>
      <w:r w:rsidR="00250B1A" w:rsidRPr="00343B9D">
        <w:rPr>
          <w:rFonts w:ascii="Times New Roman" w:hAnsi="Times New Roman" w:cs="Times New Roman"/>
        </w:rPr>
        <w:t xml:space="preserve"> </w:t>
      </w:r>
      <w:r w:rsidR="00176F46" w:rsidRPr="00343B9D">
        <w:rPr>
          <w:rFonts w:ascii="Times New Roman" w:hAnsi="Times New Roman" w:cs="Times New Roman"/>
        </w:rPr>
        <w:t xml:space="preserve">Pravilnika o financijskom izvještavanju u proračunskom računovodstvu („Narodne novine“, broj </w:t>
      </w:r>
      <w:r w:rsidR="00343B9D" w:rsidRPr="00343B9D">
        <w:rPr>
          <w:rFonts w:ascii="Times New Roman" w:hAnsi="Times New Roman" w:cs="Times New Roman"/>
        </w:rPr>
        <w:t>37/22</w:t>
      </w:r>
      <w:r w:rsidR="00176F46" w:rsidRPr="00343B9D">
        <w:rPr>
          <w:rFonts w:ascii="Times New Roman" w:hAnsi="Times New Roman" w:cs="Times New Roman"/>
        </w:rPr>
        <w:t xml:space="preserve">). </w:t>
      </w:r>
    </w:p>
    <w:p w14:paraId="3A97763F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CE5A927" w14:textId="25F94B38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196F85D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7C2CE4C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3B9D">
        <w:rPr>
          <w:rFonts w:ascii="Times New Roman" w:hAnsi="Times New Roman" w:cs="Times New Roman"/>
          <w:b/>
        </w:rPr>
        <w:t>X. URAVNOTEŽENJE PRORAČUNA I PRERASPODJELA PRORAČUNSKIH SREDSTAVA</w:t>
      </w:r>
    </w:p>
    <w:p w14:paraId="5770EA29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D41BB6" w14:textId="69CCD4BF" w:rsidR="009862EA" w:rsidRPr="00343B9D" w:rsidRDefault="009862EA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B9D">
        <w:rPr>
          <w:rFonts w:ascii="Times New Roman" w:hAnsi="Times New Roman" w:cs="Times New Roman"/>
          <w:b/>
        </w:rPr>
        <w:t>Članak 3</w:t>
      </w:r>
      <w:r w:rsidR="00343B9D" w:rsidRPr="00343B9D">
        <w:rPr>
          <w:rFonts w:ascii="Times New Roman" w:hAnsi="Times New Roman" w:cs="Times New Roman"/>
          <w:b/>
        </w:rPr>
        <w:t>0</w:t>
      </w:r>
      <w:r w:rsidRPr="00343B9D">
        <w:rPr>
          <w:rFonts w:ascii="Times New Roman" w:hAnsi="Times New Roman" w:cs="Times New Roman"/>
          <w:b/>
        </w:rPr>
        <w:t>.</w:t>
      </w:r>
    </w:p>
    <w:p w14:paraId="6137CF69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3B9D">
        <w:rPr>
          <w:rFonts w:ascii="Times New Roman" w:hAnsi="Times New Roman" w:cs="Times New Roman"/>
        </w:rPr>
        <w:t xml:space="preserve">           Ako tijekom godine dođe do povećanja rashoda i/ili izdataka odnosno smanjenja prihoda i/ili primitaka Gradonačelnik može poduzeti mjere uravnoteženja Proračuna propisane zakonom.</w:t>
      </w:r>
    </w:p>
    <w:p w14:paraId="351CD51F" w14:textId="77777777" w:rsidR="009862EA" w:rsidRPr="00343B9D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FB9">
        <w:rPr>
          <w:rFonts w:ascii="Times New Roman" w:hAnsi="Times New Roman" w:cs="Times New Roman"/>
          <w:color w:val="FF0000"/>
        </w:rPr>
        <w:t xml:space="preserve">           </w:t>
      </w:r>
      <w:r w:rsidRPr="00343B9D">
        <w:rPr>
          <w:rFonts w:ascii="Times New Roman" w:hAnsi="Times New Roman" w:cs="Times New Roman"/>
        </w:rPr>
        <w:t>Ako se primjenom privremenih mjera ne uravnoteži Proračun, njegovo uravnoteženje, odnosno preraspodjelu sredstava između proračunskih korisnika utvrdit će Gradsko vijeće Izmjenama i dopunama Proračuna.</w:t>
      </w:r>
    </w:p>
    <w:p w14:paraId="2E28E845" w14:textId="77777777" w:rsidR="009862EA" w:rsidRPr="00B67FB9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DC540CA" w14:textId="77777777" w:rsidR="00DE3704" w:rsidRPr="00B67FB9" w:rsidRDefault="00DE3704" w:rsidP="009862E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72636905" w14:textId="244B1DAC" w:rsidR="009862EA" w:rsidRPr="00065F7E" w:rsidRDefault="009862EA" w:rsidP="00343B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Članak 3</w:t>
      </w:r>
      <w:r w:rsidR="00343B9D" w:rsidRPr="00065F7E">
        <w:rPr>
          <w:rFonts w:ascii="Times New Roman" w:hAnsi="Times New Roman" w:cs="Times New Roman"/>
          <w:b/>
        </w:rPr>
        <w:t>1</w:t>
      </w:r>
      <w:r w:rsidRPr="00065F7E">
        <w:rPr>
          <w:rFonts w:ascii="Times New Roman" w:hAnsi="Times New Roman" w:cs="Times New Roman"/>
          <w:b/>
        </w:rPr>
        <w:t>.</w:t>
      </w:r>
    </w:p>
    <w:p w14:paraId="6AC0C95E" w14:textId="422E8B83" w:rsidR="009862EA" w:rsidRPr="00065F7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Gradonačelnik može odobriti preraspodjelu sredstava </w:t>
      </w:r>
      <w:r w:rsidR="00065F7E" w:rsidRPr="00065F7E">
        <w:rPr>
          <w:rFonts w:ascii="Times New Roman" w:hAnsi="Times New Roman" w:cs="Times New Roman"/>
        </w:rPr>
        <w:t>proračuna temeljem članka 60. Zakona o proračunu („Narodne novine 144/21).</w:t>
      </w:r>
    </w:p>
    <w:p w14:paraId="00FA125D" w14:textId="77777777" w:rsidR="009862EA" w:rsidRPr="00065F7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 O izvršenim preraspodjelama Gradonačelnik je dužan izvijestiti Gradsko vijeće u polugodišnjem i godišnjem Izvještaju o izvršenju Proračuna.</w:t>
      </w:r>
    </w:p>
    <w:p w14:paraId="149F2CE4" w14:textId="77777777" w:rsidR="009862EA" w:rsidRPr="00065F7E" w:rsidRDefault="009862EA" w:rsidP="009862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 Proračunske stavke za otplatu glavnice i kamate javnog duga mogu se izvršavati u iznosima iznad planiranih.</w:t>
      </w:r>
    </w:p>
    <w:p w14:paraId="3989D5A9" w14:textId="77777777" w:rsidR="009862EA" w:rsidRPr="00065F7E" w:rsidRDefault="009862EA" w:rsidP="009862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D68786" w14:textId="77777777" w:rsidR="009862EA" w:rsidRPr="00B67FB9" w:rsidRDefault="009862EA" w:rsidP="009862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C1A2101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XI. PRIJELAZNE I ZAVRŠNE ODREDBE</w:t>
      </w:r>
    </w:p>
    <w:p w14:paraId="117110FD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A5637F" w14:textId="4ECF3138" w:rsidR="009862EA" w:rsidRPr="00065F7E" w:rsidRDefault="009862EA" w:rsidP="00065F7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Članak 3</w:t>
      </w:r>
      <w:r w:rsidR="00065F7E" w:rsidRPr="00065F7E">
        <w:rPr>
          <w:rFonts w:ascii="Times New Roman" w:hAnsi="Times New Roman" w:cs="Times New Roman"/>
          <w:b/>
        </w:rPr>
        <w:t>2</w:t>
      </w:r>
      <w:r w:rsidRPr="00065F7E">
        <w:rPr>
          <w:rFonts w:ascii="Times New Roman" w:hAnsi="Times New Roman" w:cs="Times New Roman"/>
          <w:b/>
        </w:rPr>
        <w:t>.</w:t>
      </w:r>
    </w:p>
    <w:p w14:paraId="18E6D1B6" w14:textId="73F231CF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Proračun se izvršava do 31. prosinca 202</w:t>
      </w:r>
      <w:r w:rsidR="00895FA2">
        <w:rPr>
          <w:rFonts w:ascii="Times New Roman" w:hAnsi="Times New Roman" w:cs="Times New Roman"/>
        </w:rPr>
        <w:t>4</w:t>
      </w:r>
      <w:r w:rsidRPr="00065F7E">
        <w:rPr>
          <w:rFonts w:ascii="Times New Roman" w:hAnsi="Times New Roman" w:cs="Times New Roman"/>
        </w:rPr>
        <w:t>. godine.</w:t>
      </w:r>
    </w:p>
    <w:p w14:paraId="6A07ED09" w14:textId="6522B9B8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Samo naplaćeni prihodi u kalendarskoj godini priznaju se kao prihodi Proračuna za 202</w:t>
      </w:r>
      <w:r w:rsidR="00895FA2">
        <w:rPr>
          <w:rFonts w:ascii="Times New Roman" w:hAnsi="Times New Roman" w:cs="Times New Roman"/>
        </w:rPr>
        <w:t>4</w:t>
      </w:r>
      <w:r w:rsidRPr="00065F7E">
        <w:rPr>
          <w:rFonts w:ascii="Times New Roman" w:hAnsi="Times New Roman" w:cs="Times New Roman"/>
        </w:rPr>
        <w:t>. godinu.</w:t>
      </w:r>
    </w:p>
    <w:p w14:paraId="7A5664D0" w14:textId="726031C6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Ostvareni namjenski prihodi i primici koji ne budu iskorišteni do 31. prosinca 202</w:t>
      </w:r>
      <w:r w:rsidR="00895FA2">
        <w:rPr>
          <w:rFonts w:ascii="Times New Roman" w:hAnsi="Times New Roman" w:cs="Times New Roman"/>
        </w:rPr>
        <w:t>4</w:t>
      </w:r>
      <w:r w:rsidRPr="00065F7E">
        <w:rPr>
          <w:rFonts w:ascii="Times New Roman" w:hAnsi="Times New Roman" w:cs="Times New Roman"/>
        </w:rPr>
        <w:t>. godine prenose se u Proračun za narednu godinu.</w:t>
      </w:r>
    </w:p>
    <w:p w14:paraId="79B4496A" w14:textId="77777777" w:rsidR="009862EA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4B5DDF" w14:textId="77777777" w:rsidR="00A51B1E" w:rsidRDefault="00A51B1E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297815" w14:textId="77777777" w:rsidR="00A51B1E" w:rsidRPr="00065F7E" w:rsidRDefault="00A51B1E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716E4F" w14:textId="18F4A7E2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lastRenderedPageBreak/>
        <w:t>Članak 3</w:t>
      </w:r>
      <w:r w:rsidR="001F0128">
        <w:rPr>
          <w:rFonts w:ascii="Times New Roman" w:hAnsi="Times New Roman" w:cs="Times New Roman"/>
          <w:b/>
        </w:rPr>
        <w:t>3</w:t>
      </w:r>
      <w:r w:rsidRPr="00065F7E">
        <w:rPr>
          <w:rFonts w:ascii="Times New Roman" w:hAnsi="Times New Roman" w:cs="Times New Roman"/>
          <w:b/>
        </w:rPr>
        <w:t>.</w:t>
      </w:r>
    </w:p>
    <w:p w14:paraId="5EA1777B" w14:textId="30A85545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          Ova Odluka objavit će se u „Službenom glasniku Grada Vodica“ i stupa na snagu 1. siječnja 202</w:t>
      </w:r>
      <w:r w:rsidR="00895FA2">
        <w:rPr>
          <w:rFonts w:ascii="Times New Roman" w:hAnsi="Times New Roman" w:cs="Times New Roman"/>
        </w:rPr>
        <w:t>4</w:t>
      </w:r>
      <w:r w:rsidRPr="00065F7E">
        <w:rPr>
          <w:rFonts w:ascii="Times New Roman" w:hAnsi="Times New Roman" w:cs="Times New Roman"/>
        </w:rPr>
        <w:t>. godine.</w:t>
      </w:r>
    </w:p>
    <w:p w14:paraId="73719F05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EE6DE3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A8D09" w14:textId="7AB19EAC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KLASA: </w:t>
      </w:r>
      <w:r w:rsidR="00BA05E4">
        <w:rPr>
          <w:rFonts w:ascii="Times New Roman" w:hAnsi="Times New Roman" w:cs="Times New Roman"/>
        </w:rPr>
        <w:t>400-08/23-01/12</w:t>
      </w:r>
    </w:p>
    <w:p w14:paraId="30015781" w14:textId="20807630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 xml:space="preserve">URBROJ: </w:t>
      </w:r>
      <w:r w:rsidR="00BA05E4">
        <w:rPr>
          <w:rFonts w:ascii="Times New Roman" w:hAnsi="Times New Roman" w:cs="Times New Roman"/>
        </w:rPr>
        <w:t>2182-4-02/01-23-1</w:t>
      </w:r>
    </w:p>
    <w:p w14:paraId="3E86C369" w14:textId="4EBF758A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65F7E">
        <w:rPr>
          <w:rFonts w:ascii="Times New Roman" w:hAnsi="Times New Roman" w:cs="Times New Roman"/>
        </w:rPr>
        <w:t>Vodice,</w:t>
      </w:r>
      <w:r w:rsidR="001726CC">
        <w:rPr>
          <w:rFonts w:ascii="Times New Roman" w:hAnsi="Times New Roman" w:cs="Times New Roman"/>
        </w:rPr>
        <w:t xml:space="preserve"> </w:t>
      </w:r>
      <w:r w:rsidR="00BA05E4">
        <w:rPr>
          <w:rFonts w:ascii="Times New Roman" w:hAnsi="Times New Roman" w:cs="Times New Roman"/>
        </w:rPr>
        <w:t>19. prosinca 2023. godine</w:t>
      </w:r>
    </w:p>
    <w:p w14:paraId="53035AED" w14:textId="77777777" w:rsidR="009862EA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B35BAE" w14:textId="77777777" w:rsidR="00BA05E4" w:rsidRPr="00065F7E" w:rsidRDefault="00BA05E4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C41063" w14:textId="77777777" w:rsidR="009862EA" w:rsidRPr="00065F7E" w:rsidRDefault="009862EA" w:rsidP="00210766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F7E">
        <w:rPr>
          <w:rFonts w:ascii="Times New Roman" w:hAnsi="Times New Roman" w:cs="Times New Roman"/>
          <w:b/>
        </w:rPr>
        <w:t>GRADSKO VIJEĆE GRADA VODICA</w:t>
      </w:r>
    </w:p>
    <w:p w14:paraId="76B57B15" w14:textId="77777777" w:rsidR="009862EA" w:rsidRPr="00065F7E" w:rsidRDefault="009862EA" w:rsidP="00210766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3FBBA8" w14:textId="77777777" w:rsidR="009862EA" w:rsidRPr="00065F7E" w:rsidRDefault="009862EA" w:rsidP="00065F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0EEC94" w14:textId="457F355B" w:rsidR="009862EA" w:rsidRPr="00065F7E" w:rsidRDefault="00E65686" w:rsidP="00065F7E">
      <w:pPr>
        <w:tabs>
          <w:tab w:val="left" w:pos="567"/>
          <w:tab w:val="left" w:pos="70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9862EA" w:rsidRPr="00065F7E">
        <w:rPr>
          <w:rFonts w:ascii="Times New Roman" w:hAnsi="Times New Roman" w:cs="Times New Roman"/>
          <w:b/>
        </w:rPr>
        <w:t>PREDSJEDNIK</w:t>
      </w:r>
    </w:p>
    <w:p w14:paraId="2296CDB9" w14:textId="69A6D114" w:rsidR="009862EA" w:rsidRPr="00065F7E" w:rsidRDefault="00554BA5" w:rsidP="00554BA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="00376DB7">
        <w:rPr>
          <w:rFonts w:ascii="Times New Roman" w:hAnsi="Times New Roman" w:cs="Times New Roman"/>
          <w:b/>
        </w:rPr>
        <w:tab/>
      </w:r>
      <w:r w:rsidR="0059434D">
        <w:rPr>
          <w:rFonts w:ascii="Times New Roman" w:hAnsi="Times New Roman" w:cs="Times New Roman"/>
          <w:b/>
        </w:rPr>
        <w:t xml:space="preserve">    </w:t>
      </w:r>
      <w:r w:rsidR="009862EA" w:rsidRPr="00065F7E">
        <w:rPr>
          <w:rFonts w:ascii="Times New Roman" w:hAnsi="Times New Roman" w:cs="Times New Roman"/>
          <w:b/>
        </w:rPr>
        <w:t>Mar</w:t>
      </w:r>
      <w:r w:rsidR="008544D4" w:rsidRPr="00065F7E">
        <w:rPr>
          <w:rFonts w:ascii="Times New Roman" w:hAnsi="Times New Roman" w:cs="Times New Roman"/>
          <w:b/>
        </w:rPr>
        <w:t>ko Mačukat</w:t>
      </w:r>
    </w:p>
    <w:p w14:paraId="0E5EF186" w14:textId="77777777" w:rsidR="009862EA" w:rsidRPr="00B67FB9" w:rsidRDefault="009862EA" w:rsidP="009862EA">
      <w:pPr>
        <w:tabs>
          <w:tab w:val="left" w:pos="567"/>
          <w:tab w:val="left" w:pos="709"/>
        </w:tabs>
        <w:spacing w:after="0" w:line="240" w:lineRule="auto"/>
        <w:ind w:left="5670"/>
        <w:jc w:val="center"/>
        <w:rPr>
          <w:rFonts w:ascii="Times New Roman" w:hAnsi="Times New Roman" w:cs="Times New Roman"/>
          <w:b/>
          <w:color w:val="FF0000"/>
        </w:rPr>
      </w:pPr>
    </w:p>
    <w:p w14:paraId="6B6467CF" w14:textId="77777777" w:rsidR="009862EA" w:rsidRPr="00B67FB9" w:rsidRDefault="009862EA" w:rsidP="009862EA">
      <w:pPr>
        <w:pStyle w:val="Bezproreda"/>
        <w:rPr>
          <w:rFonts w:ascii="Times New Roman" w:eastAsiaTheme="minorEastAsia" w:hAnsi="Times New Roman" w:cs="Times New Roman"/>
          <w:b/>
          <w:color w:val="FF0000"/>
          <w:lang w:eastAsia="hr-HR"/>
        </w:rPr>
      </w:pPr>
    </w:p>
    <w:p w14:paraId="05EF7101" w14:textId="77777777" w:rsidR="009862EA" w:rsidRDefault="009862EA" w:rsidP="009862EA">
      <w:pPr>
        <w:pStyle w:val="Bezproreda"/>
        <w:rPr>
          <w:rFonts w:ascii="Times New Roman" w:eastAsiaTheme="minorEastAsia" w:hAnsi="Times New Roman" w:cs="Times New Roman"/>
          <w:b/>
          <w:color w:val="FF0000"/>
          <w:lang w:eastAsia="hr-HR"/>
        </w:rPr>
      </w:pPr>
    </w:p>
    <w:p w14:paraId="72EA4C6A" w14:textId="77777777" w:rsidR="00BA05E4" w:rsidRDefault="00BA05E4" w:rsidP="009862EA">
      <w:pPr>
        <w:pStyle w:val="Bezproreda"/>
        <w:rPr>
          <w:rFonts w:ascii="Times New Roman" w:eastAsiaTheme="minorEastAsia" w:hAnsi="Times New Roman" w:cs="Times New Roman"/>
          <w:b/>
          <w:color w:val="FF0000"/>
          <w:lang w:eastAsia="hr-HR"/>
        </w:rPr>
      </w:pPr>
    </w:p>
    <w:p w14:paraId="21FCAF37" w14:textId="77777777" w:rsidR="00BA05E4" w:rsidRDefault="00BA05E4" w:rsidP="009862EA">
      <w:pPr>
        <w:pStyle w:val="Bezproreda"/>
        <w:rPr>
          <w:rFonts w:ascii="Times New Roman" w:eastAsiaTheme="minorEastAsia" w:hAnsi="Times New Roman" w:cs="Times New Roman"/>
          <w:b/>
          <w:color w:val="FF0000"/>
          <w:lang w:eastAsia="hr-HR"/>
        </w:rPr>
      </w:pPr>
    </w:p>
    <w:p w14:paraId="5AFFE6C0" w14:textId="77777777" w:rsidR="00BA05E4" w:rsidRPr="00B67FB9" w:rsidRDefault="00BA05E4" w:rsidP="009862EA">
      <w:pPr>
        <w:pStyle w:val="Bezproreda"/>
        <w:rPr>
          <w:rFonts w:ascii="Times New Roman" w:eastAsiaTheme="minorEastAsia" w:hAnsi="Times New Roman" w:cs="Times New Roman"/>
          <w:b/>
          <w:color w:val="FF0000"/>
          <w:lang w:eastAsia="hr-HR"/>
        </w:rPr>
      </w:pPr>
    </w:p>
    <w:p w14:paraId="16450BC7" w14:textId="77777777" w:rsidR="00BA05E4" w:rsidRDefault="00BA05E4" w:rsidP="00BA05E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F29FE4" w14:textId="77777777" w:rsidR="00D077FA" w:rsidRPr="00B67FB9" w:rsidRDefault="00D077FA" w:rsidP="009862EA">
      <w:pPr>
        <w:pStyle w:val="Bezproreda"/>
        <w:rPr>
          <w:rFonts w:ascii="Times New Roman" w:eastAsiaTheme="minorEastAsia" w:hAnsi="Times New Roman" w:cs="Times New Roman"/>
          <w:b/>
          <w:color w:val="FF0000"/>
          <w:lang w:eastAsia="hr-HR"/>
        </w:rPr>
      </w:pPr>
    </w:p>
    <w:p w14:paraId="55C995FA" w14:textId="77777777" w:rsidR="009862EA" w:rsidRPr="00B67FB9" w:rsidRDefault="009862EA" w:rsidP="009862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318B6DB0" w14:textId="77777777" w:rsidR="0003636F" w:rsidRPr="00B67FB9" w:rsidRDefault="0003636F" w:rsidP="00073B8E">
      <w:pPr>
        <w:tabs>
          <w:tab w:val="left" w:pos="71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CFBD8EC" w14:textId="77777777" w:rsidR="0003636F" w:rsidRPr="00B67FB9" w:rsidRDefault="0003636F" w:rsidP="00073B8E">
      <w:pPr>
        <w:tabs>
          <w:tab w:val="left" w:pos="71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74BDA35B" w14:textId="77777777" w:rsidR="0003636F" w:rsidRPr="00B67FB9" w:rsidRDefault="0003636F" w:rsidP="00073B8E">
      <w:pPr>
        <w:tabs>
          <w:tab w:val="left" w:pos="71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2A30E128" w14:textId="77777777" w:rsidR="0003636F" w:rsidRPr="00B67FB9" w:rsidRDefault="0003636F" w:rsidP="00073B8E">
      <w:pPr>
        <w:tabs>
          <w:tab w:val="left" w:pos="71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303A8231" w14:textId="77777777" w:rsidR="008544D4" w:rsidRPr="00B67FB9" w:rsidRDefault="008544D4" w:rsidP="00073B8E">
      <w:pPr>
        <w:tabs>
          <w:tab w:val="left" w:pos="71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sectPr w:rsidR="008544D4" w:rsidRPr="00B67FB9" w:rsidSect="006C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9E77" w14:textId="77777777" w:rsidR="004635CF" w:rsidRDefault="004635CF" w:rsidP="00EF5F45">
      <w:pPr>
        <w:spacing w:after="0" w:line="240" w:lineRule="auto"/>
      </w:pPr>
      <w:r>
        <w:separator/>
      </w:r>
    </w:p>
  </w:endnote>
  <w:endnote w:type="continuationSeparator" w:id="0">
    <w:p w14:paraId="61008175" w14:textId="77777777" w:rsidR="004635CF" w:rsidRDefault="004635CF" w:rsidP="00EF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8A92" w14:textId="77777777" w:rsidR="004635CF" w:rsidRDefault="004635CF" w:rsidP="00EF5F45">
      <w:pPr>
        <w:spacing w:after="0" w:line="240" w:lineRule="auto"/>
      </w:pPr>
      <w:r>
        <w:separator/>
      </w:r>
    </w:p>
  </w:footnote>
  <w:footnote w:type="continuationSeparator" w:id="0">
    <w:p w14:paraId="7161406B" w14:textId="77777777" w:rsidR="004635CF" w:rsidRDefault="004635CF" w:rsidP="00EF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539"/>
    <w:multiLevelType w:val="hybridMultilevel"/>
    <w:tmpl w:val="FD80B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49D8"/>
    <w:multiLevelType w:val="hybridMultilevel"/>
    <w:tmpl w:val="0A14F498"/>
    <w:lvl w:ilvl="0" w:tplc="33B4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95A8E"/>
    <w:multiLevelType w:val="hybridMultilevel"/>
    <w:tmpl w:val="94503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1015">
    <w:abstractNumId w:val="1"/>
  </w:num>
  <w:num w:numId="2" w16cid:durableId="1432625150">
    <w:abstractNumId w:val="0"/>
  </w:num>
  <w:num w:numId="3" w16cid:durableId="35940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53"/>
    <w:rsid w:val="00002F65"/>
    <w:rsid w:val="00006A42"/>
    <w:rsid w:val="00011C7A"/>
    <w:rsid w:val="00013A23"/>
    <w:rsid w:val="000173D4"/>
    <w:rsid w:val="0002401B"/>
    <w:rsid w:val="0003636F"/>
    <w:rsid w:val="00046E41"/>
    <w:rsid w:val="0005390C"/>
    <w:rsid w:val="00065F7E"/>
    <w:rsid w:val="00073B8E"/>
    <w:rsid w:val="000763E0"/>
    <w:rsid w:val="0009704D"/>
    <w:rsid w:val="000B1870"/>
    <w:rsid w:val="000C0797"/>
    <w:rsid w:val="000D2BC2"/>
    <w:rsid w:val="000D4EEE"/>
    <w:rsid w:val="000D51F4"/>
    <w:rsid w:val="000E5CE3"/>
    <w:rsid w:val="000E6348"/>
    <w:rsid w:val="000E7149"/>
    <w:rsid w:val="000F1505"/>
    <w:rsid w:val="000F3012"/>
    <w:rsid w:val="00106F31"/>
    <w:rsid w:val="0011603B"/>
    <w:rsid w:val="0013296B"/>
    <w:rsid w:val="00140022"/>
    <w:rsid w:val="001475FB"/>
    <w:rsid w:val="001500BE"/>
    <w:rsid w:val="00160EDF"/>
    <w:rsid w:val="00171CDD"/>
    <w:rsid w:val="001726CC"/>
    <w:rsid w:val="00176F46"/>
    <w:rsid w:val="00184344"/>
    <w:rsid w:val="001A5553"/>
    <w:rsid w:val="001B3EB1"/>
    <w:rsid w:val="001C79B7"/>
    <w:rsid w:val="001D6220"/>
    <w:rsid w:val="001E34B1"/>
    <w:rsid w:val="001E6DDD"/>
    <w:rsid w:val="001F0128"/>
    <w:rsid w:val="001F0729"/>
    <w:rsid w:val="00210766"/>
    <w:rsid w:val="002314B6"/>
    <w:rsid w:val="002432BA"/>
    <w:rsid w:val="00250B1A"/>
    <w:rsid w:val="0027061B"/>
    <w:rsid w:val="00273ABD"/>
    <w:rsid w:val="0029349B"/>
    <w:rsid w:val="00295DE3"/>
    <w:rsid w:val="002A557B"/>
    <w:rsid w:val="002B40B0"/>
    <w:rsid w:val="002B5200"/>
    <w:rsid w:val="002B6A74"/>
    <w:rsid w:val="002C0F7B"/>
    <w:rsid w:val="002C22EF"/>
    <w:rsid w:val="002D001F"/>
    <w:rsid w:val="002D2256"/>
    <w:rsid w:val="002D523E"/>
    <w:rsid w:val="002E2847"/>
    <w:rsid w:val="002E3735"/>
    <w:rsid w:val="002E4502"/>
    <w:rsid w:val="002E6F4C"/>
    <w:rsid w:val="002E7D9D"/>
    <w:rsid w:val="002F38B5"/>
    <w:rsid w:val="002F734B"/>
    <w:rsid w:val="002F7A12"/>
    <w:rsid w:val="003022F0"/>
    <w:rsid w:val="003434A8"/>
    <w:rsid w:val="00343B9D"/>
    <w:rsid w:val="0034452F"/>
    <w:rsid w:val="00353DB7"/>
    <w:rsid w:val="00355FDC"/>
    <w:rsid w:val="003675DF"/>
    <w:rsid w:val="003725CA"/>
    <w:rsid w:val="00376A88"/>
    <w:rsid w:val="00376DB7"/>
    <w:rsid w:val="00385831"/>
    <w:rsid w:val="0039766F"/>
    <w:rsid w:val="003A15A5"/>
    <w:rsid w:val="003C570A"/>
    <w:rsid w:val="003E25DE"/>
    <w:rsid w:val="003E76DE"/>
    <w:rsid w:val="0040633A"/>
    <w:rsid w:val="004220E5"/>
    <w:rsid w:val="004263BE"/>
    <w:rsid w:val="00435632"/>
    <w:rsid w:val="00437E28"/>
    <w:rsid w:val="0045184D"/>
    <w:rsid w:val="004635CF"/>
    <w:rsid w:val="004651DF"/>
    <w:rsid w:val="004756EA"/>
    <w:rsid w:val="00485AA8"/>
    <w:rsid w:val="00491B1A"/>
    <w:rsid w:val="00493E26"/>
    <w:rsid w:val="00496C35"/>
    <w:rsid w:val="004A26D8"/>
    <w:rsid w:val="004B2593"/>
    <w:rsid w:val="004B61DB"/>
    <w:rsid w:val="004B6ABF"/>
    <w:rsid w:val="004B7B61"/>
    <w:rsid w:val="004E2870"/>
    <w:rsid w:val="004F1B54"/>
    <w:rsid w:val="004F5545"/>
    <w:rsid w:val="00501DDC"/>
    <w:rsid w:val="0050324A"/>
    <w:rsid w:val="00510E81"/>
    <w:rsid w:val="0052240D"/>
    <w:rsid w:val="00526542"/>
    <w:rsid w:val="005300F6"/>
    <w:rsid w:val="0054016B"/>
    <w:rsid w:val="005404DD"/>
    <w:rsid w:val="005418B0"/>
    <w:rsid w:val="0054661F"/>
    <w:rsid w:val="005467AF"/>
    <w:rsid w:val="00553A79"/>
    <w:rsid w:val="00554BA5"/>
    <w:rsid w:val="00554D47"/>
    <w:rsid w:val="00561299"/>
    <w:rsid w:val="00582AD3"/>
    <w:rsid w:val="0059434D"/>
    <w:rsid w:val="005B735A"/>
    <w:rsid w:val="005C375E"/>
    <w:rsid w:val="005E023B"/>
    <w:rsid w:val="005E3915"/>
    <w:rsid w:val="005E3B10"/>
    <w:rsid w:val="005E3C56"/>
    <w:rsid w:val="005E69C2"/>
    <w:rsid w:val="005F040F"/>
    <w:rsid w:val="0062111E"/>
    <w:rsid w:val="0063536C"/>
    <w:rsid w:val="00642C38"/>
    <w:rsid w:val="00645B1E"/>
    <w:rsid w:val="00657D22"/>
    <w:rsid w:val="00662075"/>
    <w:rsid w:val="0066338B"/>
    <w:rsid w:val="006639EF"/>
    <w:rsid w:val="00666CB0"/>
    <w:rsid w:val="006755E6"/>
    <w:rsid w:val="006817C1"/>
    <w:rsid w:val="00684512"/>
    <w:rsid w:val="00690DA1"/>
    <w:rsid w:val="0069213F"/>
    <w:rsid w:val="006C3DE6"/>
    <w:rsid w:val="006D16EB"/>
    <w:rsid w:val="006E035F"/>
    <w:rsid w:val="006E0377"/>
    <w:rsid w:val="006E5ADD"/>
    <w:rsid w:val="00706583"/>
    <w:rsid w:val="00715ADD"/>
    <w:rsid w:val="00716D63"/>
    <w:rsid w:val="007207E1"/>
    <w:rsid w:val="00727403"/>
    <w:rsid w:val="00755D32"/>
    <w:rsid w:val="007722D8"/>
    <w:rsid w:val="00781EC8"/>
    <w:rsid w:val="007952F9"/>
    <w:rsid w:val="00796BED"/>
    <w:rsid w:val="007A51F8"/>
    <w:rsid w:val="007A5894"/>
    <w:rsid w:val="007E24BD"/>
    <w:rsid w:val="007E3B6E"/>
    <w:rsid w:val="007F53C8"/>
    <w:rsid w:val="007F6677"/>
    <w:rsid w:val="00803ACB"/>
    <w:rsid w:val="0080647D"/>
    <w:rsid w:val="00806B8C"/>
    <w:rsid w:val="00826A09"/>
    <w:rsid w:val="008311AE"/>
    <w:rsid w:val="0084347E"/>
    <w:rsid w:val="00846A87"/>
    <w:rsid w:val="008544D4"/>
    <w:rsid w:val="00857839"/>
    <w:rsid w:val="008621E8"/>
    <w:rsid w:val="0088345F"/>
    <w:rsid w:val="00895FA2"/>
    <w:rsid w:val="008B6C70"/>
    <w:rsid w:val="008F0842"/>
    <w:rsid w:val="008F3B30"/>
    <w:rsid w:val="00901AB3"/>
    <w:rsid w:val="00902D72"/>
    <w:rsid w:val="00903AAB"/>
    <w:rsid w:val="00920544"/>
    <w:rsid w:val="0092480C"/>
    <w:rsid w:val="00926634"/>
    <w:rsid w:val="00942D60"/>
    <w:rsid w:val="009619FC"/>
    <w:rsid w:val="009631FE"/>
    <w:rsid w:val="009641B9"/>
    <w:rsid w:val="009862EA"/>
    <w:rsid w:val="009A2014"/>
    <w:rsid w:val="009C4CE6"/>
    <w:rsid w:val="009C5799"/>
    <w:rsid w:val="009D3A35"/>
    <w:rsid w:val="009E5AF3"/>
    <w:rsid w:val="009F7917"/>
    <w:rsid w:val="00A0261C"/>
    <w:rsid w:val="00A029D1"/>
    <w:rsid w:val="00A13B07"/>
    <w:rsid w:val="00A308FE"/>
    <w:rsid w:val="00A36D52"/>
    <w:rsid w:val="00A408F1"/>
    <w:rsid w:val="00A45EC3"/>
    <w:rsid w:val="00A51B1E"/>
    <w:rsid w:val="00A56945"/>
    <w:rsid w:val="00A606CD"/>
    <w:rsid w:val="00A60D9D"/>
    <w:rsid w:val="00A60E1C"/>
    <w:rsid w:val="00A64703"/>
    <w:rsid w:val="00A65EFC"/>
    <w:rsid w:val="00A7649A"/>
    <w:rsid w:val="00A800DA"/>
    <w:rsid w:val="00A859A7"/>
    <w:rsid w:val="00A87A4D"/>
    <w:rsid w:val="00AA051A"/>
    <w:rsid w:val="00AC04D1"/>
    <w:rsid w:val="00AC0E4E"/>
    <w:rsid w:val="00AD0625"/>
    <w:rsid w:val="00AD5F5D"/>
    <w:rsid w:val="00AD648F"/>
    <w:rsid w:val="00AF1E8D"/>
    <w:rsid w:val="00B11358"/>
    <w:rsid w:val="00B1425A"/>
    <w:rsid w:val="00B22E53"/>
    <w:rsid w:val="00B318C4"/>
    <w:rsid w:val="00B4739B"/>
    <w:rsid w:val="00B61E53"/>
    <w:rsid w:val="00B67FB9"/>
    <w:rsid w:val="00B92A85"/>
    <w:rsid w:val="00B97BE2"/>
    <w:rsid w:val="00BA05E4"/>
    <w:rsid w:val="00BA227D"/>
    <w:rsid w:val="00BF5ADC"/>
    <w:rsid w:val="00C03D9A"/>
    <w:rsid w:val="00C11727"/>
    <w:rsid w:val="00C1391F"/>
    <w:rsid w:val="00C1395A"/>
    <w:rsid w:val="00C20ACA"/>
    <w:rsid w:val="00C35E92"/>
    <w:rsid w:val="00C55583"/>
    <w:rsid w:val="00C606AC"/>
    <w:rsid w:val="00C61582"/>
    <w:rsid w:val="00C73142"/>
    <w:rsid w:val="00C829CB"/>
    <w:rsid w:val="00C829EC"/>
    <w:rsid w:val="00C86C2B"/>
    <w:rsid w:val="00C86C50"/>
    <w:rsid w:val="00C95BC1"/>
    <w:rsid w:val="00CB7727"/>
    <w:rsid w:val="00CC0037"/>
    <w:rsid w:val="00CC28CC"/>
    <w:rsid w:val="00CD2E39"/>
    <w:rsid w:val="00CE7FD4"/>
    <w:rsid w:val="00CF03F9"/>
    <w:rsid w:val="00D030CC"/>
    <w:rsid w:val="00D077FA"/>
    <w:rsid w:val="00D20E1C"/>
    <w:rsid w:val="00D26C1A"/>
    <w:rsid w:val="00D4735D"/>
    <w:rsid w:val="00D85E72"/>
    <w:rsid w:val="00D94F7E"/>
    <w:rsid w:val="00D9549C"/>
    <w:rsid w:val="00DA3129"/>
    <w:rsid w:val="00DA4435"/>
    <w:rsid w:val="00DB2A74"/>
    <w:rsid w:val="00DB4ACF"/>
    <w:rsid w:val="00DC1B1F"/>
    <w:rsid w:val="00DC4E0D"/>
    <w:rsid w:val="00DD13F7"/>
    <w:rsid w:val="00DD46FF"/>
    <w:rsid w:val="00DD661C"/>
    <w:rsid w:val="00DE3704"/>
    <w:rsid w:val="00DE39F1"/>
    <w:rsid w:val="00DF03BA"/>
    <w:rsid w:val="00DF1C75"/>
    <w:rsid w:val="00E07F12"/>
    <w:rsid w:val="00E11C41"/>
    <w:rsid w:val="00E15AB7"/>
    <w:rsid w:val="00E16FA3"/>
    <w:rsid w:val="00E2018C"/>
    <w:rsid w:val="00E25C21"/>
    <w:rsid w:val="00E30421"/>
    <w:rsid w:val="00E31C22"/>
    <w:rsid w:val="00E3522C"/>
    <w:rsid w:val="00E36AB7"/>
    <w:rsid w:val="00E42F01"/>
    <w:rsid w:val="00E45E38"/>
    <w:rsid w:val="00E560D4"/>
    <w:rsid w:val="00E63692"/>
    <w:rsid w:val="00E65686"/>
    <w:rsid w:val="00E7349E"/>
    <w:rsid w:val="00EA7BB8"/>
    <w:rsid w:val="00EB1F03"/>
    <w:rsid w:val="00EC6318"/>
    <w:rsid w:val="00ED1A79"/>
    <w:rsid w:val="00ED2B8C"/>
    <w:rsid w:val="00ED3383"/>
    <w:rsid w:val="00EE6BAE"/>
    <w:rsid w:val="00EF5F45"/>
    <w:rsid w:val="00F11311"/>
    <w:rsid w:val="00F14455"/>
    <w:rsid w:val="00F27BA9"/>
    <w:rsid w:val="00F30B4A"/>
    <w:rsid w:val="00F321D7"/>
    <w:rsid w:val="00F34A3D"/>
    <w:rsid w:val="00F62156"/>
    <w:rsid w:val="00F745C3"/>
    <w:rsid w:val="00F85B27"/>
    <w:rsid w:val="00F863B9"/>
    <w:rsid w:val="00F86B71"/>
    <w:rsid w:val="00FA0AF3"/>
    <w:rsid w:val="00FB3B16"/>
    <w:rsid w:val="00FF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A3AD"/>
  <w15:docId w15:val="{464E9AA4-599E-42F1-A34F-0B2F461A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5F45"/>
  </w:style>
  <w:style w:type="paragraph" w:styleId="Podnoje">
    <w:name w:val="footer"/>
    <w:basedOn w:val="Normal"/>
    <w:link w:val="PodnojeChar"/>
    <w:uiPriority w:val="99"/>
    <w:semiHidden/>
    <w:unhideWhenUsed/>
    <w:rsid w:val="00EF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F45"/>
  </w:style>
  <w:style w:type="paragraph" w:styleId="Bezproreda">
    <w:name w:val="No Spacing"/>
    <w:uiPriority w:val="1"/>
    <w:qFormat/>
    <w:rsid w:val="00A7649A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3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639E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6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9846-DCD1-4744-92EF-E02C3C7D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Vježbenik-pc</dc:creator>
  <cp:lastModifiedBy>Grad Vodice</cp:lastModifiedBy>
  <cp:revision>55</cp:revision>
  <cp:lastPrinted>2023-12-21T10:57:00Z</cp:lastPrinted>
  <dcterms:created xsi:type="dcterms:W3CDTF">2021-12-10T08:50:00Z</dcterms:created>
  <dcterms:modified xsi:type="dcterms:W3CDTF">2023-12-29T08:24:00Z</dcterms:modified>
</cp:coreProperties>
</file>